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12, 2026</w:t>
      </w:r>
    </w:p>
    <w:p>
      <w:pPr>
        <w:spacing w:after="0" w:line="3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Neurogene Inc.</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300"/>
          </w:cols>
          <w:pgMar w:left="300" w:top="1008" w:right="299" w:bottom="1440" w:gutter="0" w:footer="0" w:header="0"/>
        </w:sectPr>
      </w:pPr>
    </w:p>
    <w:p>
      <w:pPr>
        <w:spacing w:after="0" w:line="10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6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001-36327</w:t>
      </w:r>
    </w:p>
    <w:p>
      <w:pPr>
        <w:spacing w:after="0" w:line="4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138"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535 W 24</w:t>
      </w:r>
      <w:r>
        <w:rPr>
          <w:rFonts w:ascii="Times New Roman" w:cs="Times New Roman" w:eastAsia="Times New Roman" w:hAnsi="Times New Roman"/>
          <w:sz w:val="15"/>
          <w:szCs w:val="15"/>
          <w:b w:val="1"/>
          <w:bCs w:val="1"/>
          <w:color w:val="auto"/>
          <w:vertAlign w:val="superscript"/>
        </w:rPr>
        <w:t>th</w:t>
      </w:r>
      <w:r>
        <w:rPr>
          <w:rFonts w:ascii="Times New Roman" w:cs="Times New Roman" w:eastAsia="Times New Roman" w:hAnsi="Times New Roman"/>
          <w:sz w:val="12"/>
          <w:szCs w:val="12"/>
          <w:b w:val="1"/>
          <w:bCs w:val="1"/>
          <w:color w:val="auto"/>
        </w:rPr>
        <w:t xml:space="preserve"> Street, 5</w:t>
      </w:r>
      <w:r>
        <w:rPr>
          <w:rFonts w:ascii="Times New Roman" w:cs="Times New Roman" w:eastAsia="Times New Roman" w:hAnsi="Times New Roman"/>
          <w:sz w:val="15"/>
          <w:szCs w:val="15"/>
          <w:b w:val="1"/>
          <w:bCs w:val="1"/>
          <w:color w:val="auto"/>
          <w:vertAlign w:val="superscript"/>
        </w:rPr>
        <w:t>th</w:t>
      </w:r>
      <w:r>
        <w:rPr>
          <w:rFonts w:ascii="Times New Roman" w:cs="Times New Roman" w:eastAsia="Times New Roman" w:hAnsi="Times New Roman"/>
          <w:sz w:val="12"/>
          <w:szCs w:val="12"/>
          <w:b w:val="1"/>
          <w:bCs w:val="1"/>
          <w:color w:val="auto"/>
        </w:rPr>
        <w:t xml:space="preserve"> Floor</w:t>
      </w: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New York, NY 10011</w:t>
      </w:r>
    </w:p>
    <w:p>
      <w:pPr>
        <w:spacing w:after="0" w:line="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(877) 237-5020</w:t>
      </w:r>
    </w:p>
    <w:p>
      <w:pPr>
        <w:spacing w:after="0" w:line="29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2"/>
          <w:szCs w:val="12"/>
          <w:b w:val="1"/>
          <w:bCs w:val="1"/>
          <w:color w:val="auto"/>
        </w:rPr>
        <w:t>98-0542593</w:t>
      </w:r>
    </w:p>
    <w:p>
      <w:pPr>
        <w:spacing w:after="0" w:line="6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521" w:lineRule="exact"/>
        <w:rPr>
          <w:sz w:val="24"/>
          <w:szCs w:val="24"/>
          <w:color w:val="auto"/>
        </w:rPr>
      </w:pPr>
    </w:p>
    <w:p>
      <w:pPr>
        <w:sectPr>
          <w:pgSz w:w="11900" w:h="16838" w:orient="portrait"/>
          <w:cols w:equalWidth="0" w:num="3">
            <w:col w:w="3420" w:space="500"/>
            <w:col w:w="3860" w:space="720"/>
            <w:col w:w="2800"/>
          </w:cols>
          <w:pgMar w:left="300" w:top="1008"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177"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60" w:type="dxa"/>
            <w:vAlign w:val="bottom"/>
          </w:tcPr>
          <w:p>
            <w:pPr>
              <w:spacing w:after="0"/>
              <w:rPr>
                <w:sz w:val="13"/>
                <w:szCs w:val="13"/>
                <w:color w:val="auto"/>
              </w:rPr>
            </w:pPr>
          </w:p>
        </w:tc>
      </w:tr>
      <w:tr>
        <w:trPr>
          <w:trHeight w:val="225"/>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80" w:type="dxa"/>
            <w:vAlign w:val="bottom"/>
          </w:tcPr>
          <w:p>
            <w:pPr>
              <w:spacing w:after="0"/>
              <w:rPr>
                <w:sz w:val="19"/>
                <w:szCs w:val="19"/>
                <w:color w:val="auto"/>
              </w:rPr>
            </w:pP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87"/>
        </w:trPr>
        <w:tc>
          <w:tcPr>
            <w:tcW w:w="44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Common Stock, $0.000001 par value</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NGNE</w:t>
            </w:r>
          </w:p>
        </w:tc>
        <w:tc>
          <w:tcPr>
            <w:tcW w:w="4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Global Market</w:t>
            </w:r>
          </w:p>
        </w:tc>
      </w:tr>
    </w:tbl>
    <w:p>
      <w:pPr>
        <w:spacing w:after="0" w:line="52" w:lineRule="exact"/>
        <w:rPr>
          <w:sz w:val="24"/>
          <w:szCs w:val="24"/>
          <w:color w:val="auto"/>
        </w:rPr>
      </w:pPr>
    </w:p>
    <w:p>
      <w:pPr>
        <w:ind w:right="1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840"/>
        <w:spacing w:after="0" w:line="127" w:lineRule="exact"/>
        <w:rPr>
          <w:sz w:val="20"/>
          <w:szCs w:val="20"/>
          <w:color w:val="auto"/>
        </w:rPr>
      </w:pPr>
      <w:r>
        <w:rPr>
          <w:rFonts w:ascii="Times New Roman" w:cs="Times New Roman" w:eastAsia="Times New Roman" w:hAnsi="Times New Roman"/>
          <w:sz w:val="11"/>
          <w:szCs w:val="11"/>
          <w:color w:val="231F20"/>
        </w:rPr>
        <w:t xml:space="preserve">Emerging growth company </w:t>
      </w:r>
      <w:r>
        <w:rPr>
          <w:rFonts w:ascii="MS PGothic" w:cs="MS PGothic" w:eastAsia="MS PGothic" w:hAnsi="MS PGothic"/>
          <w:sz w:val="11"/>
          <w:szCs w:val="11"/>
          <w:color w:val="000000"/>
        </w:rPr>
        <w: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459740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27"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1"/>
          <w:szCs w:val="11"/>
          <w:color w:val="auto"/>
        </w:rPr>
        <w:t>On May 12, 2026, Neurogene Inc. (the “Company”) issued a press release announcing financial results for the quarter ended March 31, 2026. A copy of the press release announcing such results is attached as Exhibit 99.1 to this Current Report on Form 8-K. Also on May 12, 2026, the Company posted an updated corporate presentation on its website. A copy of the corporate presentation is furnished as Exhibit 99.2 to this Current Report on Form 8-K.</w:t>
      </w:r>
    </w:p>
    <w:p>
      <w:pPr>
        <w:spacing w:after="0" w:line="9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1"/>
          <w:szCs w:val="11"/>
          <w:color w:val="auto"/>
        </w:rPr>
        <w:t>The information in this Item 2.02 and Exhibits 99.1 and 99.2 attached hereto are being furnished and shall not be deemed “filed” for the purposes of Section 18 of the Securities Exchange Act of 1934, as amended (the "Exchange Act"), or otherwise subject to the liabilities of that section, nor shall such information or Exhibits 99.1 and 99.2 be deemed incorporated by reference into any filing under the Exchange Act or the Securities Act of 1933, as amended, except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expressly set forth by specific reference to such filing.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44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16"/>
        </w:trPr>
        <w:tc>
          <w:tcPr>
            <w:tcW w:w="8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3"/>
        </w:trPr>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700" w:type="dxa"/>
            <w:vAlign w:val="bottom"/>
          </w:tcPr>
          <w:p>
            <w:pPr>
              <w:spacing w:after="0"/>
              <w:rPr>
                <w:sz w:val="12"/>
                <w:szCs w:val="12"/>
                <w:color w:val="auto"/>
              </w:rPr>
            </w:pPr>
          </w:p>
        </w:tc>
        <w:tc>
          <w:tcPr>
            <w:tcW w:w="8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78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700" w:type="dxa"/>
            <w:vAlign w:val="bottom"/>
          </w:tcPr>
          <w:p>
            <w:pPr>
              <w:spacing w:after="0"/>
              <w:rPr>
                <w:sz w:val="17"/>
                <w:szCs w:val="17"/>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8"/>
              </w:rPr>
              <w:t>Press Release dated May 12, 2026</w:t>
            </w:r>
          </w:p>
        </w:tc>
        <w:tc>
          <w:tcPr>
            <w:tcW w:w="8080" w:type="dxa"/>
            <w:vAlign w:val="bottom"/>
            <w:gridSpan w:val="3"/>
          </w:tcPr>
          <w:p>
            <w:pPr>
              <w:spacing w:after="0"/>
              <w:rPr>
                <w:sz w:val="17"/>
                <w:szCs w:val="17"/>
                <w:color w:val="auto"/>
              </w:rPr>
            </w:pPr>
          </w:p>
        </w:tc>
      </w:tr>
      <w:tr>
        <w:trPr>
          <w:trHeight w:val="133"/>
        </w:trPr>
        <w:tc>
          <w:tcPr>
            <w:tcW w:w="8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700" w:type="dxa"/>
            <w:vAlign w:val="bottom"/>
          </w:tcPr>
          <w:p>
            <w:pPr>
              <w:spacing w:after="0"/>
              <w:rPr>
                <w:sz w:val="11"/>
                <w:szCs w:val="11"/>
                <w:color w:val="auto"/>
              </w:rPr>
            </w:pPr>
          </w:p>
        </w:tc>
        <w:tc>
          <w:tcPr>
            <w:tcW w:w="1720" w:type="dxa"/>
            <w:vAlign w:val="bottom"/>
            <w:tcBorders>
              <w:bottom w:val="single" w:sz="8" w:color="auto"/>
            </w:tcBorders>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w w:val="98"/>
              </w:rPr>
              <w:t>Corporate Presentation (May 2026)</w:t>
            </w:r>
          </w:p>
        </w:tc>
        <w:tc>
          <w:tcPr>
            <w:tcW w:w="8020" w:type="dxa"/>
            <w:vAlign w:val="bottom"/>
            <w:gridSpan w:val="2"/>
          </w:tcPr>
          <w:p>
            <w:pPr>
              <w:spacing w:after="0"/>
              <w:rPr>
                <w:sz w:val="11"/>
                <w:szCs w:val="1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700" w:type="dxa"/>
            <w:vAlign w:val="bottom"/>
          </w:tcPr>
          <w:p>
            <w:pPr>
              <w:spacing w:after="0"/>
              <w:rPr>
                <w:sz w:val="13"/>
                <w:szCs w:val="13"/>
                <w:color w:val="auto"/>
              </w:rPr>
            </w:pPr>
          </w:p>
        </w:tc>
        <w:tc>
          <w:tcPr>
            <w:tcW w:w="97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01"/>
        </w:trPr>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7760" w:type="dxa"/>
            <w:vAlign w:val="bottom"/>
            <w:gridSpan w:val="2"/>
          </w:tcPr>
          <w:p>
            <w:pPr>
              <w:ind w:left="2560"/>
              <w:spacing w:after="0"/>
              <w:rPr>
                <w:sz w:val="20"/>
                <w:szCs w:val="20"/>
                <w:color w:val="auto"/>
              </w:rPr>
            </w:pPr>
            <w:r>
              <w:rPr>
                <w:rFonts w:ascii="Times New Roman" w:cs="Times New Roman" w:eastAsia="Times New Roman" w:hAnsi="Times New Roman"/>
                <w:sz w:val="12"/>
                <w:szCs w:val="12"/>
                <w:b w:val="1"/>
                <w:bCs w:val="1"/>
                <w:color w:val="auto"/>
              </w:rPr>
              <w:t>NEUROGENE INC.</w:t>
            </w: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Date: May 12, 2026</w:t>
            </w:r>
          </w:p>
        </w:tc>
        <w:tc>
          <w:tcPr>
            <w:tcW w:w="344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Christine Mikail</w:t>
            </w:r>
          </w:p>
        </w:tc>
      </w:tr>
      <w:tr>
        <w:trPr>
          <w:trHeight w:val="140"/>
        </w:trPr>
        <w:tc>
          <w:tcPr>
            <w:tcW w:w="35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Name: Christine Mikail</w:t>
            </w:r>
          </w:p>
        </w:tc>
      </w:tr>
      <w:tr>
        <w:trPr>
          <w:trHeight w:val="155"/>
        </w:trPr>
        <w:tc>
          <w:tcPr>
            <w:tcW w:w="35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Title: President, Chief Financial Officer</w:t>
            </w:r>
          </w:p>
        </w:tc>
      </w:tr>
    </w:tbl>
    <w:p>
      <w:pPr>
        <w:sectPr>
          <w:pgSz w:w="11900" w:h="16838" w:orient="portrait"/>
          <w:cols w:equalWidth="0" w:num="1">
            <w:col w:w="11300"/>
          </w:cols>
          <w:pgMar w:left="300" w:top="665" w:right="299" w:bottom="1440" w:gutter="0" w:footer="0" w:header="0"/>
        </w:sectPr>
      </w:pPr>
    </w:p>
    <w:bookmarkStart w:id="3" w:name="page4"/>
    <w:bookmarkEnd w:id="3"/>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560070" cy="400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60070" cy="400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Neurogene Reports First Quarter 2026 Financial Results and Highlights Recent Updates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Dosed ~90% of participants in Embolden™ registrational trial of NGN-401 for Rett syndrome; on track to complete dosing in the second quarter of 2026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NGN-401 has been generally well-tolerated, with no cases of HLH at the 1E15 vg dose; additional interim Phase 1/2 data expected mid-2026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Presentation at ASGCT Meeting highlighted therapeutic rationale for ICV delivery in CNS-targeted gene therapy, including NGN-401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Strong cash position provides runway through first quarter of 2028</w:t>
      </w:r>
    </w:p>
    <w:p>
      <w:pPr>
        <w:spacing w:after="0" w:line="17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NEW YORK – May 12, 2026 – </w:t>
      </w:r>
      <w:r>
        <w:rPr>
          <w:rFonts w:ascii="Times New Roman" w:cs="Times New Roman" w:eastAsia="Times New Roman" w:hAnsi="Times New Roman"/>
          <w:sz w:val="14"/>
          <w:szCs w:val="14"/>
          <w:color w:val="auto"/>
        </w:rPr>
        <w:t>Neurogene Inc. (Nasdaq: NGNE), a clinical-stage company founded to bring life-changing genetic medicines to patients and families affected by rare neurological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diseases, today announced first quarter 2026 financial results and highlighted recent corporate updates.</w:t>
      </w:r>
    </w:p>
    <w:p>
      <w:pPr>
        <w:spacing w:after="0" w:line="106"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4"/>
          <w:szCs w:val="14"/>
          <w:color w:val="auto"/>
        </w:rPr>
        <w:t>“The significant unmet need in Rett syndrome and strong interest among physicians and caregivers continue to drive momentum for NGN-401, with approximately 90% of participants dosed in the Embolden™ registrational trial,” stated Rachel McMinn, Ph.D., Founder and Chief Executive Officer of Neurogene. “We continue to be encouraged that NGN-401 at the 1E15 vg dose has been generally well-tolerated. We are laser-focused on completing dosing in Embolden in the coming weeks and look forward to providing an update on this important clinical development milestone. In parallel, we are continuing to strengthen the organization and execute on early commercial-readiness activities to support a successful potential launch of NGN-401.”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2026 and Recent Highlights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NGN-401 Gene Therapy for the Treatment of Rett Syndrome</w:t>
      </w:r>
    </w:p>
    <w:p>
      <w:pPr>
        <w:spacing w:after="0" w:line="17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today that ~90% of participants have been dosed in the Embolden registrational trial, and the Company is on track to complete dosing in the second quarter of 2026</w:t>
      </w:r>
    </w:p>
    <w:p>
      <w:pPr>
        <w:spacing w:after="0" w:line="2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NGN-401 at the 1E15 vg dose has been generally well-tolerated, with no cases of hemophagocytic lymphohistiocytosis (HLH) in the Phase 1/2 trial or Embolden as of May 11, 2026</w:t>
      </w:r>
    </w:p>
    <w:p>
      <w:pPr>
        <w:spacing w:after="0" w:line="17" w:lineRule="exact"/>
        <w:rPr>
          <w:rFonts w:ascii="Times New Roman" w:cs="Times New Roman" w:eastAsia="Times New Roman" w:hAnsi="Times New Roman"/>
          <w:sz w:val="14"/>
          <w:szCs w:val="14"/>
          <w:color w:val="auto"/>
        </w:rPr>
      </w:pPr>
    </w:p>
    <w:p>
      <w:pPr>
        <w:ind w:left="420" w:hanging="212"/>
        <w:spacing w:after="0" w:line="271"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the therapeutic rationale for intracerebroventricular (ICV) administration of central nervous system (CNS)-targeted gene therapy, including NGN-401, at the American Society of Gene and Cell Therapy (ASGCT) Annual Meeting</w:t>
      </w:r>
    </w:p>
    <w:p>
      <w:pPr>
        <w:sectPr>
          <w:pgSz w:w="11900" w:h="16838" w:orient="portrait"/>
          <w:cols w:equalWidth="0" w:num="1">
            <w:col w:w="11280"/>
          </w:cols>
          <w:pgMar w:left="300" w:top="1440" w:right="319" w:bottom="1440" w:gutter="0" w:footer="0" w:header="0"/>
        </w:sectPr>
      </w:pPr>
    </w:p>
    <w:bookmarkStart w:id="4" w:name="page5"/>
    <w:bookmarkEnd w:id="4"/>
    <w:p>
      <w:pPr>
        <w:ind w:left="860" w:right="220" w:hanging="220"/>
        <w:spacing w:after="0" w:line="295" w:lineRule="auto"/>
        <w:tabs>
          <w:tab w:leader="none" w:pos="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Presentation highlighted the biological need to deliver gene therapy to the key regions of the brain underlying disease, supported by preclinical data demonstrating broader CNS biodistribution to brain regions central to Rett syndrome pathophysiology, as compared with intrathecal lumbar (IT-L) administration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Additional Corporate Updates</w:t>
      </w:r>
    </w:p>
    <w:p>
      <w:pPr>
        <w:spacing w:after="0" w:line="183" w:lineRule="exact"/>
        <w:rPr>
          <w:sz w:val="20"/>
          <w:szCs w:val="20"/>
          <w:color w:val="auto"/>
        </w:rPr>
      </w:pPr>
    </w:p>
    <w:p>
      <w:pPr>
        <w:ind w:left="420" w:right="440" w:hanging="212"/>
        <w:spacing w:after="0" w:line="266" w:lineRule="auto"/>
        <w:tabs>
          <w:tab w:leader="none" w:pos="4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Strengthened the leadership team with the appointment of Christy Shafer as Chief Commercial Officer and Christine Mikail, J.D., President and CFO of Neurogene, to the Board of Directors</w:t>
      </w:r>
    </w:p>
    <w:p>
      <w:pPr>
        <w:spacing w:after="0" w:line="1" w:lineRule="exact"/>
        <w:rPr>
          <w:rFonts w:ascii="Times New Roman" w:cs="Times New Roman" w:eastAsia="Times New Roman" w:hAnsi="Times New Roman"/>
          <w:sz w:val="14"/>
          <w:szCs w:val="14"/>
          <w:color w:val="auto"/>
        </w:rPr>
      </w:pPr>
    </w:p>
    <w:p>
      <w:pPr>
        <w:jc w:val="both"/>
        <w:ind w:left="640" w:right="2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Ms. Shafer brings more than 20 years of industry experience building and leading high-performing commercial organizations and launching therapies for rare neurological diseases o Ms. Mikail brings to the Board deep expertise in strategic transactions, capital formation, and corporate development, with a track record of building and positioning companies for</w:t>
      </w:r>
    </w:p>
    <w:p>
      <w:pPr>
        <w:spacing w:after="0" w:line="1" w:lineRule="exact"/>
        <w:rPr>
          <w:rFonts w:ascii="Times New Roman" w:cs="Times New Roman" w:eastAsia="Times New Roman" w:hAnsi="Times New Roman"/>
          <w:sz w:val="14"/>
          <w:szCs w:val="14"/>
          <w:color w:val="auto"/>
        </w:rPr>
      </w:pP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value creation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Anticipated NGN-401 Milestones in 2026</w:t>
      </w:r>
    </w:p>
    <w:p>
      <w:pPr>
        <w:spacing w:after="0" w:line="174"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dosing of participants in the Embolden registrational trial in the second quarter of 2026</w:t>
      </w:r>
    </w:p>
    <w:p>
      <w:pPr>
        <w:spacing w:after="0" w:line="26" w:lineRule="exact"/>
        <w:rPr>
          <w:rFonts w:ascii="Times New Roman" w:cs="Times New Roman" w:eastAsia="Times New Roman" w:hAnsi="Times New Roman"/>
          <w:sz w:val="14"/>
          <w:szCs w:val="14"/>
          <w:color w:val="auto"/>
        </w:rPr>
      </w:pPr>
    </w:p>
    <w:p>
      <w:pPr>
        <w:ind w:left="420" w:right="140" w:hanging="212"/>
        <w:spacing w:after="0" w:line="254" w:lineRule="auto"/>
        <w:tabs>
          <w:tab w:leader="none" w:pos="4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 updated interim safety and efficacy data on the pediatric and adolescent/adult cohorts from the Phase 1/2 trial, including at least 12 months of follow-up for all 10 participants, in mid-2026</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Process Performance Qualification (PPQ) campaign in mid-2026</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early commercial-readiness activities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Upcoming Events</w:t>
      </w:r>
    </w:p>
    <w:p>
      <w:pPr>
        <w:ind w:left="420" w:hanging="212"/>
        <w:spacing w:after="0" w:line="218" w:lineRule="auto"/>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 Wainwright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Annual BioConnect Investor Conference: Management will participate in a fireside chat at 11:30 a.m. ET on May 19 and participate in investor meetings</w:t>
      </w: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Goldman Sachs 47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Annual Global Healthcare Conference: Management will participate in a fireside chat at 2:40 p.m. ET on June 8 and participate in investor meetings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2026 Financial Results</w:t>
      </w:r>
    </w:p>
    <w:p>
      <w:pPr>
        <w:spacing w:after="0" w:line="172" w:lineRule="exact"/>
        <w:rPr>
          <w:sz w:val="20"/>
          <w:szCs w:val="20"/>
          <w:color w:val="auto"/>
        </w:rPr>
      </w:pPr>
    </w:p>
    <w:p>
      <w:pPr>
        <w:ind w:left="420" w:right="160" w:hanging="212"/>
        <w:spacing w:after="0" w:line="275"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Cash, Cash Equivalents and Short-Term Investments</w:t>
      </w:r>
      <w:r>
        <w:rPr>
          <w:rFonts w:ascii="Times New Roman" w:cs="Times New Roman" w:eastAsia="Times New Roman" w:hAnsi="Times New Roman"/>
          <w:sz w:val="14"/>
          <w:szCs w:val="14"/>
          <w:color w:val="auto"/>
        </w:rPr>
        <w:t>: Cash, cash equivalents and short-term investments as of March 31, 2026 were $243.2 million and are expected to fund planned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operations through the first quarter of 2028.</w:t>
      </w:r>
    </w:p>
    <w:p>
      <w:pPr>
        <w:ind w:left="420" w:hanging="212"/>
        <w:spacing w:after="0" w:line="271"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Research &amp; Development (R&amp;D) Expenses</w:t>
      </w:r>
      <w:r>
        <w:rPr>
          <w:rFonts w:ascii="Times New Roman" w:cs="Times New Roman" w:eastAsia="Times New Roman" w:hAnsi="Times New Roman"/>
          <w:sz w:val="14"/>
          <w:szCs w:val="14"/>
          <w:color w:val="auto"/>
        </w:rPr>
        <w:t>: R&amp;D expenses were $25.2 million for the three months ended March 31, 2026, compared to $17.8 million for the three months ended March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31, 2025. The increase in R&amp;D expenses for the three months ended March 31, 2026 was primarily driven by an increase in Rett syndrome clinical trial costs of</w:t>
      </w:r>
    </w:p>
    <w:p>
      <w:pPr>
        <w:sectPr>
          <w:pgSz w:w="11900" w:h="16838" w:orient="portrait"/>
          <w:cols w:equalWidth="0" w:num="1">
            <w:col w:w="11240"/>
          </w:cols>
          <w:pgMar w:left="300" w:top="1201" w:right="359" w:bottom="1440" w:gutter="0" w:footer="0" w:header="0"/>
        </w:sectPr>
      </w:pPr>
    </w:p>
    <w:bookmarkStart w:id="5" w:name="page6"/>
    <w:bookmarkEnd w:id="5"/>
    <w:p>
      <w:pPr>
        <w:ind w:left="420"/>
        <w:spacing w:after="0" w:line="266" w:lineRule="auto"/>
        <w:rPr>
          <w:sz w:val="20"/>
          <w:szCs w:val="20"/>
          <w:color w:val="auto"/>
        </w:rPr>
      </w:pPr>
      <w:r>
        <w:rPr>
          <w:rFonts w:ascii="Times New Roman" w:cs="Times New Roman" w:eastAsia="Times New Roman" w:hAnsi="Times New Roman"/>
          <w:sz w:val="14"/>
          <w:szCs w:val="14"/>
          <w:color w:val="auto"/>
        </w:rPr>
        <w:t>NGN-401, chemistry, manufacturing and controls (CMC) costs to support NGN-401 and employee-related expenses due to an increase in R&amp;D headcount. The increase was partially offset by decreases in spending on the CLN5 Batten disease program and early discovery.</w:t>
      </w:r>
    </w:p>
    <w:p>
      <w:pPr>
        <w:spacing w:after="0" w:line="1" w:lineRule="exact"/>
        <w:rPr>
          <w:sz w:val="20"/>
          <w:szCs w:val="20"/>
          <w:color w:val="auto"/>
        </w:rPr>
      </w:pPr>
    </w:p>
    <w:p>
      <w:pPr>
        <w:ind w:left="420" w:right="80" w:hanging="212"/>
        <w:spacing w:after="0" w:line="278" w:lineRule="auto"/>
        <w:tabs>
          <w:tab w:leader="none" w:pos="4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General &amp; Administrative (G&amp;A) Expenses</w:t>
      </w:r>
      <w:r>
        <w:rPr>
          <w:rFonts w:ascii="Times New Roman" w:cs="Times New Roman" w:eastAsia="Times New Roman" w:hAnsi="Times New Roman"/>
          <w:sz w:val="14"/>
          <w:szCs w:val="14"/>
          <w:color w:val="auto"/>
        </w:rPr>
        <w:t>: G&amp;A expenses were $8.2 million for the three months ended March 31, 2026 and the three months ended March 31, 2025. Higher costs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related to corporate and pre-commercial activities, along with increased employee-related expenses and professional fees, were offset by a decrease in non-cash stock-based compensation expense.</w:t>
      </w:r>
    </w:p>
    <w:p>
      <w:pPr>
        <w:spacing w:after="0" w:line="149"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Net Loss</w:t>
      </w:r>
      <w:r>
        <w:rPr>
          <w:rFonts w:ascii="Times New Roman" w:cs="Times New Roman" w:eastAsia="Times New Roman" w:hAnsi="Times New Roman"/>
          <w:sz w:val="14"/>
          <w:szCs w:val="14"/>
          <w:color w:val="auto"/>
        </w:rPr>
        <w:t>: Net loss was $30.9 million for the three months ended March 31, 2026, compared to $22.6 million for the three months ended March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Neurogene</w:t>
      </w:r>
    </w:p>
    <w:p>
      <w:pPr>
        <w:spacing w:after="0" w:line="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color w:val="auto"/>
        </w:rPr>
        <w:t xml:space="preserve">Neurogene (NASDAQ: NGNE) is a clinical-stage biotechnology company focused on developing life-changing genetic medicines for people and their families impacted by devastating neurological diseases. The Company is using a biology-first approach paired with optimized delivery to develop purpose-built genetic medicines, including programs powered by its novel and proprietary EXACT™ transgene regulation technology. Neurogene is advancing its lead gene therapy program, NGN-401, as a potential best-in-class, one-time treatment for Rett syndrome. For more information, visit </w:t>
      </w:r>
      <w:r>
        <w:rPr>
          <w:rFonts w:ascii="Times New Roman" w:cs="Times New Roman" w:eastAsia="Times New Roman" w:hAnsi="Times New Roman"/>
          <w:sz w:val="14"/>
          <w:szCs w:val="14"/>
          <w:color w:val="467886"/>
        </w:rPr>
        <w:t>neurogene.com</w:t>
      </w:r>
      <w:r>
        <w:rPr>
          <w:rFonts w:ascii="Times New Roman" w:cs="Times New Roman" w:eastAsia="Times New Roman" w:hAnsi="Times New Roman"/>
          <w:sz w:val="14"/>
          <w:szCs w:val="14"/>
          <w:color w:val="auto"/>
        </w:rPr>
        <w:t xml:space="preserve"> or follow on </w:t>
      </w:r>
      <w:r>
        <w:rPr>
          <w:rFonts w:ascii="Times New Roman" w:cs="Times New Roman" w:eastAsia="Times New Roman" w:hAnsi="Times New Roman"/>
          <w:sz w:val="14"/>
          <w:szCs w:val="14"/>
          <w:color w:val="467886"/>
        </w:rPr>
        <w:t>LinkedIn</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NGN-401</w:t>
      </w:r>
    </w:p>
    <w:p>
      <w:pPr>
        <w:spacing w:after="0" w:line="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NGN-401 is an investigational AAV9 gene therapy in late-stage clinical development as a potential best-in-class, one-time treatment for Rett syndrome. It is the only clinical candidate to deliver the full-length human </w:t>
      </w:r>
      <w:r>
        <w:rPr>
          <w:rFonts w:ascii="Times New Roman" w:cs="Times New Roman" w:eastAsia="Times New Roman" w:hAnsi="Times New Roman"/>
          <w:sz w:val="14"/>
          <w:szCs w:val="14"/>
          <w:i w:val="1"/>
          <w:iCs w:val="1"/>
          <w:color w:val="auto"/>
        </w:rPr>
        <w:t>MECP2</w:t>
      </w:r>
      <w:r>
        <w:rPr>
          <w:rFonts w:ascii="Times New Roman" w:cs="Times New Roman" w:eastAsia="Times New Roman" w:hAnsi="Times New Roman"/>
          <w:sz w:val="14"/>
          <w:szCs w:val="14"/>
          <w:color w:val="auto"/>
        </w:rPr>
        <w:t xml:space="preserve"> gene and includes Neurogene’s EXACT™ transgene regulation technology, which is designed to deliver consistent, tightly controlled MeCP2 protein expression on a cell-by-cell basis. NGN-401 is delivered through intracerebroventricular administration to achieve the broadest targeting directly to the brain and nervous system based on nonclinical biodistribution data. NGN-401 is being evaluated in the Embolden™ registrational clinical trial. Interim data from the Phase 1/2 trial (as of October 30, 2025) have shown that participants experienced multidomain, durable gains with continued skill acquisition observed over time, and NGN-401 at the 1E15 vg dose has been generally well-tolerated. NGN-401 has received Breakthrough Therapy, Regenerative Medicine Advanced Therapy, Fast Track, Orphan Drug and Rare Pediatric Disease designations and selection for the START Pilot Program from the U.S. Food and Drug Administration, Advanced Therapy Medicinal Product, Orphan and Priority Medicines designations from the European Medicines Agency and Innovative Licensing and Application Pathway designation from the United Kingdom Medicines and Healthcare products Regulatory Agency.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in this press release are made as of the date of this press release. Neurogene does not undertake any obligation to make any updates to these statements to reflect events that occur or</w:t>
      </w:r>
    </w:p>
    <w:p>
      <w:pPr>
        <w:sectPr>
          <w:pgSz w:w="11900" w:h="16838" w:orient="portrait"/>
          <w:cols w:equalWidth="0" w:num="1">
            <w:col w:w="11260"/>
          </w:cols>
          <w:pgMar w:left="300" w:top="12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circumstances that arise after the date of this press release, except as may be required under applicable U.S. securities law.</w:t>
      </w:r>
    </w:p>
    <w:p>
      <w:pPr>
        <w:spacing w:after="0" w:line="1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Statements in this press release which are not historical in nature are intended to be, and hereby are identified as, forward-looking statements within the meaning of the Private Securities Litigation Reform Act of 1995. These statements may discuss goals, intentions and expectations as to future plans, trends, events, results of operations or financial condition, or otherwise, based on current expectations and beliefs of the management of Neurogene, as well as assumptions made by, and information currently available to, management of Neurogene, including, but not limited to, statements regarding: the therapeutic potential and utility, efficacy and clinical benefits of NGN-401; the safety and tolerability profile of NGN-401; the applicability of reported interim results from the NGN-401 Phase 1/2 clinical trial to other participants or potential participants, including adolescent or adult patients; the potential for NGN-401 to be a best-in-class gene therapy for Rett syndrome; trial designs and clinical development plans for the Company’s Embolden registrational clinical trial of NGN-401 for Rett syndrome, including timing of anticipated dosing and completion of participant dosing in the Company’s clinical trial and the expected timeline of its PPQ activities for its CMC requirements; the response rate, expected durability and deepening of clinical data results from our NGN-401 clinical trial; the potential for future approval for commercialization of NGN-401 as a treatment for Rett syndrome; commercial launch readiness for NGN-401; expected timing for release of additional data from the Company’s Phase 1/2 clinical trial of NGN-401; the potential for success of the Embolden registrational clinical trial of NGN-401 for Rett syndrome; the clinical benefit of delivering NGN-401 via ICV administration; expected future interactions with or positions of the FDA, including the timing and outcome of any such interactions and anticipated benefits of any regulatory designation for NGN-401, including the FDA’s Breakthrough Therapy designation, Rare Pediatric Disease designation, RMAT designation and participation in the FDA’s START program; and the time period over which existing cash resources may be sufficient to fund the Company’s operations. Forward-looking statements generally include statements that are predictive in nature and depend upon or refer to future events or conditions, and include words such as “may,” “will,” “should,” “would,” “expect,” “anticipate,” “plan,” “likely,” “believe,” “estimate,” “project,” “intend,” “on track,” and other similar expressions or the negative or plural of these words, or other similar expressions that are predictions or indicate future events or prospects, although not all forward-looking statements contain these words. Forward-looking statements are based on current beliefs and assumptions that are subject to risks, uncertainties and assumptions that are difficult to predict with regard to timing, extent, likelihood, and degree of occurrence, which could cause actual results to differ materially from anticipated results and many of which are outside of Neurogene’s control. Such risks, uncertainties and assumptions include, among other things: the potential for negative impacts to participants in the Phase 1/2 clinical trial of NGN-401 for the treatment of Rett syndrome; the risk that the Company may not be able to report data on the predicted timeline; risks related to the Company’s ability to obtain regulatory approval for, and ultimately commercialize, its product candidates, including NGN-401; risks related to timing of completing enrollment in the Embolden trial of NGN-401 for Rett syndrome; and other risks and uncertainties identified under the heading "Risk Factors" included in Neurogene’s Annual Report on Form 10-K for the year ended December 31,</w:t>
      </w:r>
    </w:p>
    <w:p>
      <w:pPr>
        <w:sectPr>
          <w:pgSz w:w="11900" w:h="16838" w:orient="portrait"/>
          <w:cols w:equalWidth="0" w:num="1">
            <w:col w:w="11280"/>
          </w:cols>
          <w:pgMar w:left="300" w:top="1201" w:right="319" w:bottom="1440" w:gutter="0" w:footer="0" w:header="0"/>
        </w:sectPr>
      </w:pPr>
    </w:p>
    <w:bookmarkStart w:id="7" w:name="page8"/>
    <w:bookmarkEnd w:id="7"/>
    <w:p>
      <w:pPr>
        <w:spacing w:after="0" w:line="268" w:lineRule="auto"/>
        <w:rPr>
          <w:sz w:val="20"/>
          <w:szCs w:val="20"/>
          <w:color w:val="auto"/>
        </w:rPr>
      </w:pPr>
      <w:r>
        <w:rPr>
          <w:rFonts w:ascii="Times New Roman" w:cs="Times New Roman" w:eastAsia="Times New Roman" w:hAnsi="Times New Roman"/>
          <w:sz w:val="14"/>
          <w:szCs w:val="14"/>
          <w:color w:val="auto"/>
        </w:rPr>
        <w:t>2025, filed with the Securities and Exchange Commission (“SEC”) on March 24, 2026, the Quarterly Report on Form 10-Q for the quarter ended March 31, 2026, filed with the SEC on May 12, 2026, and other filings that the Company has made and may make with the SEC in the future. Nothing in this communication should be regarded as a representation by any person that the forward-looking statements set 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Neurogene undertakes no obligation to revise or update any forward-looking statement, or to make any other forward-looking statements, whether as a result of new information, future events or otherwise.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communication contains hyperlinks to information that is not deemed to be incorporated by reference into this communication.</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 Financial Tables Follow -</w:t>
      </w:r>
    </w:p>
    <w:p>
      <w:pPr>
        <w:spacing w:after="0" w:line="3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Neurogene Inc.</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 Data</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104775</wp:posOffset>
            </wp:positionV>
            <wp:extent cx="3566160" cy="1108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Neurogene Inc.</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Operations</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 of U.S. dollars, except per share information)</w:t>
      </w:r>
    </w:p>
    <w:p>
      <w:pPr>
        <w:sectPr>
          <w:pgSz w:w="11900" w:h="16838" w:orient="portrait"/>
          <w:cols w:equalWidth="0" w:num="1">
            <w:col w:w="11180"/>
          </w:cols>
          <w:pgMar w:left="300" w:top="1201" w:right="4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768985</wp:posOffset>
            </wp:positionV>
            <wp:extent cx="3566160" cy="120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56616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Mike Devine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Director, Corporate Communications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67886"/>
        </w:rPr>
        <w:t>michael.devine@neurogene.com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Lina Li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Director, Investor Relations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467886"/>
        </w:rPr>
        <w:t>lina.li@neurogene.com</w:t>
      </w:r>
    </w:p>
    <w:p>
      <w:pPr>
        <w:spacing w:after="0" w:line="15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440" w:right="1440"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2026-05-12T15:12:29Z</dcterms:created>
  <dcterms:modified xsi:type="dcterms:W3CDTF">2026-05-12T15:12:29Z</dcterms:modified>
</cp:coreProperties>
</file>