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95715d8k.htm"/>
      <w:bookmarkStart w:id="1" w:name="ksd595715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November 30,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Neoleukin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001-36327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98-0542593</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188 East Blaine Street, Suite 450</w:t>
      </w:r>
    </w:p>
    <w:p>
      <w:pPr>
        <w:pStyle w:val="TextBody"/>
        <w:bidi w:val="0"/>
        <w:spacing w:before="0" w:after="0"/>
        <w:jc w:val="center"/>
        <w:rPr>
          <w:rFonts w:ascii="Times New Roman" w:hAnsi="Times New Roman"/>
          <w:b/>
          <w:sz w:val="20"/>
        </w:rPr>
      </w:pPr>
      <w:r>
        <w:rPr>
          <w:rFonts w:ascii="Times New Roman" w:hAnsi="Times New Roman"/>
          <w:b/>
          <w:sz w:val="20"/>
        </w:rPr>
        <w:t>Seattle, Washington 98102</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(866) 245-0312</w:t>
      </w:r>
    </w:p>
    <w:p>
      <w:pPr>
        <w:pStyle w:val="TextBody"/>
        <w:bidi w:val="0"/>
        <w:spacing w:before="16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170" w:type="dxa"/>
        <w:jc w:val="left"/>
        <w:tblInd w:w="0" w:type="dxa"/>
        <w:tblLayout w:type="fixed"/>
        <w:tblCellMar>
          <w:top w:w="0" w:type="dxa"/>
          <w:left w:w="0" w:type="dxa"/>
          <w:bottom w:w="0" w:type="dxa"/>
          <w:right w:w="0" w:type="dxa"/>
        </w:tblCellMar>
      </w:tblPr>
      <w:tblGrid>
        <w:gridCol w:w="3590"/>
        <w:gridCol w:w="60"/>
        <w:gridCol w:w="740"/>
        <w:gridCol w:w="60"/>
        <w:gridCol w:w="2720"/>
      </w:tblGrid>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590" w:type="dxa"/>
            <w:tcBorders/>
            <w:vAlign w:val="center"/>
          </w:tcPr>
          <w:p>
            <w:pPr>
              <w:pStyle w:val="TableContents"/>
              <w:bidi w:val="0"/>
              <w:spacing w:before="0" w:after="283"/>
              <w:jc w:val="center"/>
              <w:rPr/>
            </w:pPr>
            <w:r>
              <w:rPr/>
              <w:t>Common Stock, $0.000001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NLTX</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righ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2215" w:type="dxa"/>
        <w:jc w:val="left"/>
        <w:tblInd w:w="0" w:type="dxa"/>
        <w:tblLayout w:type="fixed"/>
        <w:tblCellMar>
          <w:top w:w="0" w:type="dxa"/>
          <w:left w:w="0" w:type="dxa"/>
          <w:bottom w:w="0" w:type="dxa"/>
          <w:right w:w="0" w:type="dxa"/>
        </w:tblCellMar>
      </w:tblPr>
      <w:tblGrid>
        <w:gridCol w:w="980"/>
        <w:gridCol w:w="1235"/>
      </w:tblGrid>
      <w:tr>
        <w:trPr/>
        <w:tc>
          <w:tcPr>
            <w:tcW w:w="980"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reported on the Current Report on Form 8-K filed by Neoleukin Therapeutics, Inc. (the “Company”) on July 18, 2023 (the “July 8-K”), the Company, Project North Merger Sub, Inc., a Delaware corporation and a wholly owned subsidiary of the Company, and Neurogene Inc., a Delaware corporation (“Neurogene”), entered into an Agreement and Plan of Merger (the “Merger Agreement”), pursuant to which, among other matters, and subject to the satisfaction or waiver of the conditions set forth in the Merger Agreement, Merger Sub will merge with and into Neurogene, with Neurogene continuing as a wholly owned subsidiary of the Company and the surviving corporation of the merger (the “Merger”).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2023, the Company agreed, concurrently with or prior to the closing of the Merger (“Closing”), it will enter into a revised Contingent Value Rights Agreement (“Revised CVR Agreement”) with the Rights Agent (as defined in the Revised CVR Agreement) and the Lease Representative (as defined in the Revised CVR Agreement), which revises the form of Contingent Value Rights Agreement (“Prior CVR Agreement”), which was filed as Exhibit 10.1 to the July 8-K. The Revised CVR Agreement revises the Prior CVR Agreement by including (i) a $500,000 de minimis threshold on CVR Payments (as defined in the Revised CVR Agreement) during the applicable CVR Payment Period (as defined in the Revised CVR Agreement); provided, that any unpaid CVR Payments will be distributed before June 30, 2029 regardless of whether the accrued CVR Payments at such time equal or exceed the $500,000 de minimis threshold and (ii) 100% of the unused balance of the Lease Negotiation Holdback (as defined in the Merger Agreement) that is no longer required to be withheld in the Gross Proceeds (as defined in the Revised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Revised CVR Agreement is qualified in its entirety by reference to the Form of Revised CVR Agreement filed as Exhibit 10.1 hereto, which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(including within the meaning of Section 21E of the Securities Exchange Act of 1934, as amended, and Section 27A of the Securities Act of 1933, as amended (“Securities Act”)) concerning Neurogene, the Company, the proposed transactions and other matters. These statements may discuss goals, intentions and expectations as to future plans, trends, events, results of operations or financial condition, or otherwise, based on current expectations and beliefs of the management of the Company and Neurogene, as well as assumptions made by, and information currently available to, management of the Company and Neurogene.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or the negative or plural of these words, or other similar expressions that are predictions or indicate future events or prospects, although not all forward-looking statements contain these words. Statements that are not historical facts are forward-looking statements. Forward-looking statements in this communication include, but are not limited to, expectations regarding the proposed merger and financing transactions; the potential benefits and results of such transactions; and the expected timing of the closing of the proposed transactions.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the limited operating history of each company; the significant net losses incurred since inception of each company; the ability to raise additional capital to finance operations; the ability to advance product candidates through non-clinical and clinical development; the ability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obtain regulatory approval for, and ultimately commercialize, Neurogene’s product candidates; the outcome of non-clinical testing and early clinical trials for Neurogene’s product candidates, including the ability of those trials to satisfy relevant governmental or regulatory requirements; Neurogene’s limited experience in designing clinical trials and lack of experience in conducting clinical trials; the ability to identify and pivot to other programs, product candidates, or indications that may be more profitable or successful than Neurogene’s current product candidates; expectations regarding the market and potential for Neurogene’s current product candidates; the substantial competition Neurogene faces in discovering, developing, or commercializing products; the negative impacts of the COVID-19 pandemic on operations, including ongoing and planned clinical trials and ongoing and planned non-clinical studies; expectations regarding the potential tolerability, safety or efficacy for Neurogene’s current product candidates; the ability to attract, hire, and retain skilled executive officers and employees; the ability of the Company or Neurogene to protect their respective intellectual property and proprietary technologies; reliance on third parties, contract manufacturers, and contract research organizations; the risk that the conditions to the closing of the proposed transactions are not satisfied, including the failure to obtain stockholder approval for the proposed transactions from both the Company and Neurogene’s stockholders or to complete the transactions in a timely manner or at all; uncertainties as to the timing of the consummation of the proposed transactions and the ability of each of the parties to consummate the proposed transactions; risks related to the Company’s continued listing on the Nasdaq Capital Market until closing of the proposed transactions; risks related to the Company’s and Neurogene’s ability to correctly estimate their respective operating expenses and expenses associated with the proposed transactions, as well as uncertainties regarding the impact any delay in the closing would have on the anticipated cash resources of the combined company upon closing and other events and unanticipated spending and costs that could reduce the combined company’s cash resources; the occurrence of any event, change or other circumstance or condition that could give rise to the termination of the Merger Agreement or the financing transaction; competitive responses to the proposed transactions; unexpected costs, charges or expenses resulting from the proposed transactions; the outcome of any legal proceedings that may be instituted against the Company, Neurogene or any of their respective directors or officers related to the merger, the financing transaction, or the proposed transactions contemplated thereby; potential adverse reactions of changes to business relationships resulting from the announcement or completion of the proposed transactions; the effect of the announcement or pendency of the transactions on the Company’s or Neurogene’s business relationships, operating results and business generally; the expected trading of the combined company’s stock on Nasdaq Capital Market under the ticker symbol “NGNE” and the combined company’s ability to remain listed following the proposed transactions; and legislative, regulatory, political and economic developments and general market conditions. The foregoing review of important factors that could cause actual events to differ from expectations should not be construed as exhaustive and should be read in conjunction with statements that are included herein and elsewhere, including the risk factors included in the Company’s most recent Annual Report on Form 10-K, Quarterly Reports on Form 10-Q and Current Reports on Form 8-K filed with the SEC, the registration statement on Form S-4 filed with the Securities and Exchange Commission (“SEC”) by the Company, as well as risk factors associated with companies, such as Neurogene, that operate in the biopharma industry. There can be no assurance that the conditions of the proposed transactions will be satisfied or that future developments affecting Neurogene, the Company or the proposed transactions will be those that have been anticipated. These forward-looking statements involve a number of risks, uncertainties (some of which are beyond Neurogene and the Company’s control) or other assumptions that may cause actual results or performance to be materially different from those expressed or implied by these forward-looking statements. Nothing in this communication should be regarded as a representation by any person that the forward-looking statements set forth herein will be achieved or that the contemplated results of any such forward-looking statements will be achieved. Forward-looking statements in this communication speak only as of the day they are made and are qualified in their entirety by reference to the cautionary statements herein. Except as required by applicable law, the Company and Neurogene undertake no obligation to revise or update any forward-looking statement, or to make any other forward-looking statements, whether as a result of new information, future events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contains hyperlinks to information that is not deemed to be incorporated by reference into this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information contained herein is not intended to and does not constitute (i) a solicitation of a proxy, consent or approval with respect to any securities or in respect of the proposed transactions or (ii) an offer to sell or the solicitation of an offer to subscribe for or buy or an invitation to purchase or subscribe for any securities pursuant to the proposed transactions or otherwise, nor shall there be any sale, issuance or transfer of securities in any jurisdiction in contravention of applicable law. No offer of securities shall be made except by means of a prospectus meeting the requirements of the Securities Act, or an exemption therefrom.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NEITHER THE SEC NOR ANY STATE SECURITIES COMMISSION HAS APPROVED OR DISAPPROVED OF THE SECURITIES OR DETERMINED IF THIS COMMUNICATION IS TRUTHFUL OR COMPLETE.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Proposed Transactions Has Been Filed with the SEC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 substitute for the registration statement or for any other document that the Company has filed with the SEC in connection with the proposed transactions. In connection with the proposed transactions, the Company has filed a registration statement on Form S-4 that contains a proxy statement/prospectus of the Company. THE COMPANY URGES INVESTORS AND STOCKHOLDERS TO READ THE REGISTRATION STATEMENT, PROXY STATEMENT/PROSPECTUS AND ANY OTHER RELEVANT DOCUMENTS THAT MAY BE FILED WITH THE SEC, AS WELL AS ANY AMENDMENTS OR SUPPLEMENTS TO THESE DOCUMENTS, CAREFULLY AND IN THEIR ENTIRETY BECAUSE THEY CONTAIN IMPORTANT INFORMATION ABOUT THE COMPANY, NEUROGENE, THE PROPOSED TRANSACTIONS AND RELATED MATTERS. Investors and stockholders can obtain free copies of the proxy statement/prospectus and other documents filed by the Company with the SEC through the website maintained by the SEC at www.sec.gov. In addition, investors and stockholders should note that the Company communicates with investors and the public using its website (www.neoleukin.com), the investor relations website (https://investors.neoleukin.com/) where anyone can obtain free copies of the proxy statement/prospectus and other documents filed by the Company with the SEC and stockholders are urged to read the proxy statement/prospectus and the other relevant materials before making any voting or investment decision with respect to the proposed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Neurogene and their respective directors and executive officers may be considered participants in the solicitation of proxies in connection with the proposed transaction. Information about the Company’s directors and executive officers who may, under the rules of the SEC, be deemed participants in the solicitation of the stockholders of the Company in connection with the proposed transaction, including a description of their direct or indirect interests, by security holdings or otherwise, is set forth in the proxy statement/prospectus included in the registration statement on Form S-4 filed by the Company with the SEC on August 21, 2023, as subsequently amended on September 28, 2023, October 18, 2023 and November 8, 2023.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605"/>
        <w:gridCol w:w="120"/>
        <w:gridCol w:w="7625"/>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c>
          <w:tcPr>
            <w:tcW w:w="6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595715dex101.htm">
              <w:r>
                <w:rPr>
                  <w:rStyle w:val="InternetLink"/>
                </w:rPr>
                <w:t xml:space="preserve">Form of Revised CVR Agreement </w:t>
              </w:r>
            </w:hyperlink>
          </w:p>
        </w:tc>
      </w:tr>
      <w:tr>
        <w:trPr/>
        <w:tc>
          <w:tcPr>
            <w:tcW w:w="6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4"/>
        <w:gridCol w:w="60"/>
        <w:gridCol w:w="23"/>
        <w:gridCol w:w="60"/>
        <w:gridCol w:w="650"/>
        <w:gridCol w:w="60"/>
        <w:gridCol w:w="7018"/>
      </w:tblGrid>
      <w:tr>
        <w:trPr/>
        <w:tc>
          <w:tcPr>
            <w:tcW w:w="2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18" w:type="dxa"/>
            <w:tcBorders/>
            <w:vAlign w:val="center"/>
          </w:tcPr>
          <w:p>
            <w:pPr>
              <w:pStyle w:val="TableContents"/>
              <w:bidi w:val="0"/>
              <w:spacing w:before="0" w:after="283"/>
              <w:jc w:val="left"/>
              <w:rPr>
                <w:sz w:val="4"/>
                <w:szCs w:val="4"/>
              </w:rPr>
            </w:pPr>
            <w:r>
              <w:rPr>
                <w:sz w:val="4"/>
                <w:szCs w:val="4"/>
              </w:rPr>
            </w:r>
          </w:p>
        </w:tc>
      </w:tr>
      <w:tr>
        <w:trPr/>
        <w:tc>
          <w:tcPr>
            <w:tcW w:w="2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28" w:type="dxa"/>
            <w:gridSpan w:val="3"/>
            <w:tcBorders/>
            <w:vAlign w:val="center"/>
          </w:tcPr>
          <w:p>
            <w:pPr>
              <w:pStyle w:val="TableContents"/>
              <w:bidi w:val="0"/>
              <w:spacing w:before="0" w:after="283"/>
              <w:jc w:val="left"/>
              <w:rPr>
                <w:b/>
              </w:rPr>
            </w:pPr>
            <w:r>
              <w:rPr>
                <w:b/>
              </w:rPr>
              <w:t>NEOLEUKIN THERAPEUTICS, INC.</w:t>
            </w:r>
          </w:p>
        </w:tc>
      </w:tr>
      <w:tr>
        <w:trPr/>
        <w:tc>
          <w:tcPr>
            <w:tcW w:w="2334"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7078" w:type="dxa"/>
            <w:gridSpan w:val="2"/>
            <w:tcBorders/>
            <w:vAlign w:val="center"/>
          </w:tcPr>
          <w:p>
            <w:pPr>
              <w:pStyle w:val="TableContents"/>
              <w:bidi w:val="0"/>
              <w:spacing w:before="0" w:after="283"/>
              <w:jc w:val="left"/>
              <w:rPr>
                <w:sz w:val="4"/>
                <w:szCs w:val="4"/>
              </w:rPr>
            </w:pPr>
            <w:r>
              <w:rPr>
                <w:sz w:val="4"/>
                <w:szCs w:val="4"/>
              </w:rPr>
            </w:r>
          </w:p>
        </w:tc>
      </w:tr>
      <w:tr>
        <w:trPr/>
        <w:tc>
          <w:tcPr>
            <w:tcW w:w="2334" w:type="dxa"/>
            <w:tcBorders/>
            <w:vAlign w:val="center"/>
          </w:tcPr>
          <w:p>
            <w:pPr>
              <w:pStyle w:val="TableContents"/>
              <w:bidi w:val="0"/>
              <w:spacing w:before="0" w:after="283"/>
              <w:jc w:val="left"/>
              <w:rPr/>
            </w:pPr>
            <w:r>
              <w:rPr/>
              <w:t>Date: December 4,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01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Donna M. Cochener</w:t>
            </w:r>
          </w:p>
        </w:tc>
      </w:tr>
      <w:tr>
        <w:trPr/>
        <w:tc>
          <w:tcPr>
            <w:tcW w:w="2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018" w:type="dxa"/>
            <w:tcBorders/>
            <w:vAlign w:val="center"/>
          </w:tcPr>
          <w:p>
            <w:pPr>
              <w:pStyle w:val="TableContents"/>
              <w:bidi w:val="0"/>
              <w:spacing w:before="0" w:after="283"/>
              <w:jc w:val="left"/>
              <w:rPr/>
            </w:pPr>
            <w:r>
              <w:rPr/>
              <w:t>Donna M. Cochener</w:t>
            </w:r>
          </w:p>
        </w:tc>
      </w:tr>
      <w:tr>
        <w:trPr/>
        <w:tc>
          <w:tcPr>
            <w:tcW w:w="23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018" w:type="dxa"/>
            <w:tcBorders/>
            <w:vAlign w:val="center"/>
          </w:tcPr>
          <w:p>
            <w:pPr>
              <w:pStyle w:val="TableContents"/>
              <w:bidi w:val="0"/>
              <w:spacing w:before="0" w:after="283"/>
              <w:jc w:val="left"/>
              <w:rPr/>
            </w:pPr>
            <w:r>
              <w:rPr/>
              <w:t>Interim Chief Executive Officer, General Counsel and Corporate Secretary</w:t>
            </w:r>
          </w:p>
        </w:tc>
      </w:tr>
    </w:tbl>
    <w:p>
      <w:pPr>
        <w:pStyle w:val="TextBody"/>
        <w:bidi w:val="0"/>
        <w:spacing w:before="0" w:after="0"/>
        <w:jc w:val="right"/>
        <w:rPr>
          <w:rFonts w:ascii="Times New Roman" w:hAnsi="Times New Roman"/>
          <w:b/>
          <w:sz w:val="20"/>
        </w:rPr>
      </w:pPr>
      <w:bookmarkStart w:id="2" w:name="d595715dex101.htm"/>
      <w:bookmarkStart w:id="3" w:name="ksd595715dex101"/>
      <w:bookmarkEnd w:id="2"/>
      <w:bookmarkEnd w:id="3"/>
      <w:r>
        <w:rPr>
          <w:rFonts w:ascii="Times New Roman" w:hAnsi="Times New Roman"/>
          <w:b/>
          <w:sz w:val="20"/>
        </w:rPr>
        <w:t xml:space="preserve">Exhibit 10.1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CONTINGENT VALUE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December [●], 2023, is entered into by and among Neoleukin Therapeutics, Inc., a Delaware corporation (the </w:t>
      </w:r>
      <w:r>
        <w:rPr>
          <w:rFonts w:ascii="Times New Roman" w:hAnsi="Times New Roman"/>
          <w:b/>
          <w:sz w:val="20"/>
        </w:rPr>
        <w:t>Company</w:t>
      </w:r>
      <w:r>
        <w:rPr>
          <w:rFonts w:ascii="Times New Roman" w:hAnsi="Times New Roman"/>
          <w:sz w:val="20"/>
        </w:rPr>
        <w:t xml:space="preserve">), Equiniti Trust Company, LLC, a New York limited liability trust company, as the Rights Agent, and Donna Cochener as the Lease Representative.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Project North Merger Sub, Inc., a Delaware corporation (</w:t>
      </w:r>
      <w:r>
        <w:rPr>
          <w:rFonts w:ascii="Times New Roman" w:hAnsi="Times New Roman"/>
          <w:b/>
          <w:sz w:val="20"/>
        </w:rPr>
        <w:t>Merger Sub</w:t>
      </w:r>
      <w:r>
        <w:rPr>
          <w:rFonts w:ascii="Times New Roman" w:hAnsi="Times New Roman"/>
          <w:sz w:val="20"/>
        </w:rPr>
        <w:t>), and Neurogene Inc., a Delaware corporation (</w:t>
      </w:r>
      <w:r>
        <w:rPr>
          <w:rFonts w:ascii="Times New Roman" w:hAnsi="Times New Roman"/>
          <w:b/>
          <w:sz w:val="20"/>
        </w:rPr>
        <w:t>Neurogene</w:t>
      </w:r>
      <w:r>
        <w:rPr>
          <w:rFonts w:ascii="Times New Roman" w:hAnsi="Times New Roman"/>
          <w:sz w:val="20"/>
        </w:rPr>
        <w:t>), have entered into an Agreement and Plan of Merger, dated as of July 17, 2023 (the </w:t>
      </w:r>
      <w:r>
        <w:rPr>
          <w:rFonts w:ascii="Times New Roman" w:hAnsi="Times New Roman"/>
          <w:b/>
          <w:sz w:val="20"/>
        </w:rPr>
        <w:t>Merger Agreement</w:t>
      </w:r>
      <w:r>
        <w:rPr>
          <w:rFonts w:ascii="Times New Roman" w:hAnsi="Times New Roman"/>
          <w:sz w:val="20"/>
        </w:rPr>
        <w:t>), pursuant to which Neurogene will merge with and into Merger Sub and become a wholly-owned subsidiary of the Company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and in accordance with the terms and conditions thereof, the Company has agreed to provide to the Holders (as defined herein) contingent value rights as hereinafter described;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have done all things reasonably necessary to make the contingent value rights, when issued pursuant to the Merger Agreement and hereunder, the valid obligations of the Company and to make this Agreement a valid and binding agreement of the Company,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w:t>
      </w:r>
      <w:r>
        <w:rPr>
          <w:rFonts w:ascii="Times New Roman" w:hAnsi="Times New Roman"/>
          <w:b/>
          <w:sz w:val="20"/>
          <w:u w:val="single"/>
        </w:rPr>
        <w:t>Definitions</w:t>
      </w:r>
      <w:r>
        <w:rPr>
          <w:rFonts w:ascii="Times New Roman" w:hAnsi="Times New Roman"/>
          <w:sz w:val="20"/>
        </w:rPr>
        <w:t xml:space="preserve">. Capitalized terms used but not otherwise defined herein have the meanings ascribed thereto in the Merger Agreement. The following terms have the meanings ascribed to them as follows: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Acting Holders</w:t>
      </w:r>
      <w:r>
        <w:rPr>
          <w:rFonts w:ascii="Times New Roman" w:hAnsi="Times New Roman"/>
          <w:sz w:val="20"/>
        </w:rPr>
        <w:t xml:space="preserve"> means, at the time of determination, the Holders of more than 30% of the outstanding CVRs, as reflected on the CVR Register.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Calendar Half</w:t>
      </w:r>
      <w:r>
        <w:rPr>
          <w:rFonts w:ascii="Times New Roman" w:hAnsi="Times New Roman"/>
          <w:sz w:val="20"/>
        </w:rPr>
        <w:t xml:space="preserve"> means the successive periods of six consecutive calendar months ending on June 30 or December 31, for so long as this Agreement is in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first Calendar Half shall commence on the date of this Agreement and shall end on June 30, 2024, and (b) the last Calendar Half shall commence on the first day after the full Calendar Half immediately preceding the effective date of the termination or expiration of this Agreement and shall end on the effective date of the termination or expiration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Calendar Quarter</w:t>
      </w:r>
      <w:r>
        <w:rPr>
          <w:rFonts w:ascii="Times New Roman" w:hAnsi="Times New Roman"/>
          <w:sz w:val="20"/>
        </w:rPr>
        <w:t xml:space="preserve"> means the successive periods of three consecutive calendar months ending on March 31, June 30, September 30 or December 31, for so long as this Agreement is in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first Calendar Quarter shall commence on the date of this Agreement and shall end on March 31, 2024, and (b) the last Calendar Quarter shall commence 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first day after the full Calendar Quarter immediately preceding the effective date of the termination or expiration of this Agreement and shall end on the effective date of the termination or expiration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Common Stock</w:t>
      </w:r>
      <w:r>
        <w:rPr>
          <w:rFonts w:ascii="Times New Roman" w:hAnsi="Times New Roman"/>
          <w:sz w:val="20"/>
        </w:rPr>
        <w:t xml:space="preserve"> means the common stock, $0.000001 par value,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w:t>
      </w:r>
      <w:r>
        <w:rPr>
          <w:rFonts w:ascii="Times New Roman" w:hAnsi="Times New Roman"/>
          <w:sz w:val="20"/>
        </w:rPr>
        <w:t xml:space="preserve"> means a contingent contractual right of Holders to receive CVR Payments pursuant to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Cash Payment</w:t>
      </w:r>
      <w:r>
        <w:rPr>
          <w:rFonts w:ascii="Times New Roman" w:hAnsi="Times New Roman"/>
          <w:sz w:val="20"/>
        </w:rPr>
        <w:t xml:space="preserve"> means, in a given Calendar Quarter, a cash payment equal to (i) the Net Proceeds (if any) received by the Company (subject to the first proviso in the definition for the term CVR Payment herein), </w:t>
      </w:r>
      <w:r>
        <w:rPr>
          <w:rFonts w:ascii="Times New Roman" w:hAnsi="Times New Roman"/>
          <w:i/>
          <w:sz w:val="20"/>
        </w:rPr>
        <w:t>plus</w:t>
      </w:r>
      <w:r>
        <w:rPr>
          <w:rFonts w:ascii="Times New Roman" w:hAnsi="Times New Roman"/>
          <w:sz w:val="20"/>
        </w:rPr>
        <w:t xml:space="preserve"> (ii) the Lease CVR Amount (if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Payment</w:t>
      </w:r>
      <w:r>
        <w:rPr>
          <w:rFonts w:ascii="Times New Roman" w:hAnsi="Times New Roman"/>
          <w:sz w:val="20"/>
        </w:rPr>
        <w:t xml:space="preserve"> means any CVR Cash Payment or CVR Stock Payment; </w:t>
      </w:r>
      <w:r>
        <w:rPr>
          <w:rFonts w:ascii="Times New Roman" w:hAnsi="Times New Roman"/>
          <w:i/>
          <w:sz w:val="20"/>
        </w:rPr>
        <w:t>provided</w:t>
      </w:r>
      <w:r>
        <w:rPr>
          <w:rFonts w:ascii="Times New Roman" w:hAnsi="Times New Roman"/>
          <w:sz w:val="20"/>
        </w:rPr>
        <w:t xml:space="preserve"> that the Company, in its reasonable discretion as resolved by the Companys Board of Directors, may withhold up to 15% of any CVR Payment to provide for the satisfaction of (a) indemnity obligations under any Disposition Agreement in excess of any escrow fund established therein, in each case to the extent not already deducted as Permitted Deductions and (b) any Loss arising out of any third-party claims, demands, actions, or other proceedings relating to or in connection with any Potentially Transferable Assets during the CVR Term;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such withheld Net Proceeds shall be distributed (net of any Permitted Deductions satisfied therefrom) to the Holders no later than three years following the date such Net Proceeds would have otherwise been distributed to the Holders in the CVR Payment from which such Net Proceeds were otherwise deducted;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withholding shall not be permitted (and any remaining amounts withheld shall be distributed to the Holders) if (i) the applicable indemnification period under the applicable Disposition Agreement related to such CVR Payment has expired by its terms or (ii) the maximum aggregate liability in respect of the applicable indemnification obligations has been held back or setoff (including any amounts deposited in escrow) by the purchaser or acquiror under the applicable Disposition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Payment Amount</w:t>
      </w:r>
      <w:r>
        <w:rPr>
          <w:rFonts w:ascii="Times New Roman" w:hAnsi="Times New Roman"/>
          <w:sz w:val="20"/>
        </w:rPr>
        <w:t xml:space="preserve"> means with respect to each CVR Payment and each Holder, an amount equal to such CVR Payment divided by the total number of CVRs and then multiplied by the total number of CVRs held by such Holder as reflected on the CVR Register at the time of such CVR Payment.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Payment Period</w:t>
      </w:r>
      <w:r>
        <w:rPr>
          <w:rFonts w:ascii="Times New Roman" w:hAnsi="Times New Roman"/>
          <w:sz w:val="20"/>
        </w:rPr>
        <w:t xml:space="preserve"> means (a) in the case of a CVR Payment arising in connection with a Disposition Agreement or a Lease Termination, a period equal to the Calendar Quarter ending after the effective date of a Disposition Agreement or a Lease Termination, (b) in the case of a CVR Payment arising in connection with a Lease Sublease CVR, a period equal to the Calendar Half in which the applicable sublease payment is received, (c) in the case of a CVR Payment arising in connection with clause (c) of the definition of Gross Proceeds, the first Calendar Quarter in which such CVR Payment is payable, or (d) in the case of a CVR Payment arising in connection with clause (d) of the definition of Gross Proceeds, the first Calendar Quarter in which such CVR Payment is payable; </w:t>
      </w:r>
      <w:r>
        <w:rPr>
          <w:rFonts w:ascii="Times New Roman" w:hAnsi="Times New Roman"/>
          <w:i/>
          <w:sz w:val="20"/>
        </w:rPr>
        <w:t>provided</w:t>
      </w:r>
      <w:r>
        <w:rPr>
          <w:rFonts w:ascii="Times New Roman" w:hAnsi="Times New Roman"/>
          <w:sz w:val="20"/>
        </w:rPr>
        <w:t xml:space="preserve">, that, notwithstanding anything to the contrary in this definition, in the case of any CVR Payment that is less than $500,000, the CVR Payment shall be made in the Calendar Quarter (or, in the case of clause (b) of this definition, Calendar Half) following the first Calendar Quarter or Calendar Half, as applicable, in which the sum of such CVR Payment and any other CVR Payment that is then payable equals or exceeds $500,000; </w:t>
      </w:r>
      <w:r>
        <w:rPr>
          <w:rFonts w:ascii="Times New Roman" w:hAnsi="Times New Roman"/>
          <w:i/>
          <w:sz w:val="20"/>
        </w:rPr>
        <w:t>provided further</w:t>
      </w:r>
      <w:r>
        <w:rPr>
          <w:rFonts w:ascii="Times New Roman" w:hAnsi="Times New Roman"/>
          <w:sz w:val="20"/>
        </w:rPr>
        <w:t xml:space="preserve">, that any unpaid CVR Payments shall be distributed before the Expiration Date regardless of whether the accrued CVR Payments at such time equal or exceed $500,000.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CVR Payment Statement</w:t>
      </w:r>
      <w:r>
        <w:rPr>
          <w:rFonts w:ascii="Times New Roman" w:hAnsi="Times New Roman"/>
          <w:sz w:val="20"/>
        </w:rPr>
        <w:t xml:space="preserve"> means, for a given CVR Payment Period during the CVR Term, a written statement of the Company, signed on behalf of the Company, setting forth in reasonable detail the calculation of the applicable CVR Payment for such CVR Payment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Stock Payment</w:t>
      </w:r>
      <w:r>
        <w:rPr>
          <w:rFonts w:ascii="Times New Roman" w:hAnsi="Times New Roman"/>
          <w:sz w:val="20"/>
        </w:rPr>
        <w:t xml:space="preserve"> means a number of shares of Common Stock equal to the quotient determined by dividing (a) the sum of (i) the applicable Lease CVR Amount, </w:t>
      </w:r>
      <w:r>
        <w:rPr>
          <w:rFonts w:ascii="Times New Roman" w:hAnsi="Times New Roman"/>
          <w:i/>
          <w:sz w:val="20"/>
        </w:rPr>
        <w:t>plus</w:t>
      </w:r>
      <w:r>
        <w:rPr>
          <w:rFonts w:ascii="Times New Roman" w:hAnsi="Times New Roman"/>
          <w:sz w:val="20"/>
        </w:rPr>
        <w:t xml:space="preserve"> (ii) the Net Proceeds received by the Company in a given Calendar Quarter (subject to the first proviso in the definition for the term CVR Payment herein) by (b) the volume weighted average price of the Common Stock for the five trading days ending the day prior to the date of issuance of the shares comprising the CVR Stock Payment.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CVR Term</w:t>
      </w:r>
      <w:r>
        <w:rPr>
          <w:rFonts w:ascii="Times New Roman" w:hAnsi="Times New Roman"/>
          <w:sz w:val="20"/>
        </w:rPr>
        <w:t xml:space="preserve"> means the period beginning on the Closing and ending on the Expiration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Disposition</w:t>
      </w:r>
      <w:r>
        <w:rPr>
          <w:rFonts w:ascii="Times New Roman" w:hAnsi="Times New Roman"/>
          <w:sz w:val="20"/>
        </w:rPr>
        <w:t xml:space="preserve"> means the sale, license, transfer or other disposition (including any disposition providing for milestone payments, royalty payments or similar payments received pursuant to licensing arrangements or strategic partnerships) of any Potentially Transferable Asset (including any such sale or disposition of equity securities in any Subsidiary established by the Company to hold any right, title or interest in or to any Potentially Transferable Asset).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Disposition Agreement</w:t>
      </w:r>
      <w:r>
        <w:rPr>
          <w:rFonts w:ascii="Times New Roman" w:hAnsi="Times New Roman"/>
          <w:sz w:val="20"/>
        </w:rPr>
        <w:t xml:space="preserve"> means a definitive written agreement providing for a transaction or series of transactions between the Company or its Affiliates and any Person who is not an Affiliate of the Company regarding a Disposition and either (a) entered into prior to date hereof and set forth on </w:t>
      </w:r>
      <w:r>
        <w:rPr>
          <w:rFonts w:ascii="Times New Roman" w:hAnsi="Times New Roman"/>
          <w:sz w:val="20"/>
          <w:u w:val="single"/>
        </w:rPr>
        <w:t>Schedule 1.1</w:t>
      </w:r>
      <w:r>
        <w:rPr>
          <w:rFonts w:ascii="Times New Roman" w:hAnsi="Times New Roman"/>
          <w:sz w:val="20"/>
        </w:rPr>
        <w:t xml:space="preserve"> hereto (a </w:t>
      </w:r>
      <w:r>
        <w:rPr>
          <w:rFonts w:ascii="Times New Roman" w:hAnsi="Times New Roman"/>
          <w:b/>
          <w:sz w:val="20"/>
        </w:rPr>
        <w:t>Pre-Closing Disposition</w:t>
      </w:r>
      <w:r>
        <w:rPr>
          <w:rFonts w:ascii="Times New Roman" w:hAnsi="Times New Roman"/>
          <w:sz w:val="20"/>
        </w:rPr>
        <w:t>), or (b) entered into during the Disposition Period (a </w:t>
      </w:r>
      <w:r>
        <w:rPr>
          <w:rFonts w:ascii="Times New Roman" w:hAnsi="Times New Roman"/>
          <w:b/>
          <w:sz w:val="20"/>
        </w:rPr>
        <w:t>Post-Closing Disposition</w:t>
      </w:r>
      <w:r>
        <w:rPr>
          <w:rFonts w:ascii="Times New Roman" w:hAnsi="Times New Roman"/>
          <w:sz w:val="20"/>
        </w:rPr>
        <w:t xml:space="preserve">). For clarity, any agreement providing for a Disposition that is entered into after the first anniversary of the Closing Date shall not be a Disposition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Disposition Period</w:t>
      </w:r>
      <w:r>
        <w:rPr>
          <w:rFonts w:ascii="Times New Roman" w:hAnsi="Times New Roman"/>
          <w:sz w:val="20"/>
        </w:rPr>
        <w:t xml:space="preserve"> means the period beginning on the Closing Date and ending 12 months thereafter.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Expiration Date</w:t>
      </w:r>
      <w:r>
        <w:rPr>
          <w:rFonts w:ascii="Times New Roman" w:hAnsi="Times New Roman"/>
          <w:sz w:val="20"/>
        </w:rPr>
        <w:t xml:space="preserve"> means June 30, 2029.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Gross Proceeds</w:t>
      </w:r>
      <w:r>
        <w:rPr>
          <w:rFonts w:ascii="Times New Roman" w:hAnsi="Times New Roman"/>
          <w:sz w:val="20"/>
        </w:rPr>
        <w:t xml:space="preserve"> means, without duplication, the sum of (a) 100% of all cash consideration and the actual liquidation value of any and all non-cash consideration of any kind that is paid to the Company or any of its Affiliates, or is actually received by, the Company or any of its Affiliates during the CVR Term pursuant to a Pre-Closing Disposition (i.e., relating to Disposition Agreements entered into prior to the Closing Date), (b) 80% of all cash consideration and the actual liquidation value of any and all non-cash consideration of any kind that is paid to the Company or any of its Affiliates, or is actually received by, the Company or any of its Affiliates during the CVR Term pursuant to a Post-Closing Disposition (i.e., relating to Disposition Agreements entered into during the 12-month Disposition Period after the Closing Date), (c) 100% of any Tax refunds received by the Company during the CVR Term relating to Tax Returns filed by the Company prior to the Closing Date and (d) 100% of the unused balance of the Lease Negotiation Holdback as of the Calendar Quarter in which the Lease Representative determines that such portion of the Lease Negotiation Holdback is no longer required to be withheld (or if no such determination is made, as of the Expiration Date), which Lease Negotiation Holdback shall be as is set forth in the Parent Net Cash Schedule (as finally determined in accordance with Section 2.9 of the Merger Agreement). The value of any securities (whether debt or equity) or other non-cash property received as consideration under a Disposition Agreement shall be determined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actual realized value on the subsequent sale of such securities or property (net of selling expenses and taxes, if any). Such securities and other non-cash consideration shall not be deemed to constitute Gross Proceeds until the subsequent sale of such securities or other property, which sale the Company and its Affiliates shall consummate as soon as reasonably practicable when market conditions, and any restrictions on transfer, permit with respect to such securities or other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Holder</w:t>
      </w:r>
      <w:r>
        <w:rPr>
          <w:rFonts w:ascii="Times New Roman" w:hAnsi="Times New Roman"/>
          <w:sz w:val="20"/>
        </w:rPr>
        <w:t xml:space="preserve"> means, at the relevant time, a Person in whose name CVRs are registered in the CVR Register.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Lease Agreements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that certain Lease Agreement by and between the Company and ARE-Eastlake Avenue No. 3, LLC, dated December 23, 2019, as amended by that certain First Amendment to Lease by and between the Company and ARE-Seattle No. 28, LLC, dated November 5, 2020, for 188 East Blaine Street, Seattle, WA 98102; and </w:t>
      </w:r>
    </w:p>
    <w:p>
      <w:pPr>
        <w:pStyle w:val="TextBody"/>
        <w:bidi w:val="0"/>
        <w:spacing w:before="120" w:after="0"/>
        <w:jc w:val="left"/>
        <w:rPr>
          <w:rFonts w:ascii="Times New Roman" w:hAnsi="Times New Roman"/>
          <w:sz w:val="20"/>
        </w:rPr>
      </w:pPr>
      <w:r>
        <w:rPr>
          <w:rFonts w:ascii="Times New Roman" w:hAnsi="Times New Roman"/>
          <w:sz w:val="20"/>
        </w:rPr>
        <w:t>(b) that certain Lease Agreement by and between the Company and ARE-Eastlake Avenue No. 3, LLC, dated September 23, 2019, as amended by that certain First Amendment to Lease by and between the Company and ARE-Eastlake Avenue No. 3, LLC, dated June 18, 2020, and that certain Second Amendment to Lease by and between the Company and ARE-Eastlake Avenue No. 3, LLC, dated March 16, 2021, for 1616 Eastlake Avenue East, Seattle, Washington 98102 (the </w:t>
      </w:r>
      <w:r>
        <w:rPr>
          <w:rFonts w:ascii="Times New Roman" w:hAnsi="Times New Roman"/>
          <w:b/>
          <w:sz w:val="20"/>
        </w:rPr>
        <w:t>1616 Eastlake 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Lease CVR Amount</w:t>
      </w:r>
      <w:r>
        <w:rPr>
          <w:rFonts w:ascii="Times New Roman" w:hAnsi="Times New Roman"/>
          <w:sz w:val="20"/>
        </w:rPr>
        <w:t xml:space="preserve"> means, for any CVR Payment Period, an amount calculated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either Lease Agreement is terminated or assigned to a third party following the Closing with no continuing payment or other obligations (excluding, for the avoidance of doubt, any reasonable and customary obligations with respect to customary warranties and similar obligations of a transferor or sublessor pursuant to which no payments (other than </w:t>
      </w:r>
      <w:r>
        <w:rPr>
          <w:rFonts w:ascii="Times New Roman" w:hAnsi="Times New Roman"/>
          <w:i/>
          <w:sz w:val="20"/>
        </w:rPr>
        <w:t>de minimis</w:t>
      </w:r>
      <w:r>
        <w:rPr>
          <w:rFonts w:ascii="Times New Roman" w:hAnsi="Times New Roman"/>
          <w:sz w:val="20"/>
        </w:rPr>
        <w:t xml:space="preserve"> administrative and similar payments) are then reasonably anticipated) on the part of the Company (a </w:t>
      </w:r>
      <w:r>
        <w:rPr>
          <w:rFonts w:ascii="Times New Roman" w:hAnsi="Times New Roman"/>
          <w:b/>
          <w:sz w:val="20"/>
        </w:rPr>
        <w:t>Lease Termination</w:t>
      </w:r>
      <w:r>
        <w:rPr>
          <w:rFonts w:ascii="Times New Roman" w:hAnsi="Times New Roman"/>
          <w:sz w:val="20"/>
        </w:rPr>
        <w:t xml:space="preserve">) and such Lease Termination reduces the Companys liabilities below 100% of the Remaining Financial Obligations, then an amount equal to (x) 100% of the amount by which the aggregate value of the expected financial obligations under such Lease Termination is less than the Remaining Financial Obligations, </w:t>
      </w:r>
      <w:r>
        <w:rPr>
          <w:rFonts w:ascii="Times New Roman" w:hAnsi="Times New Roman"/>
          <w:i/>
          <w:sz w:val="20"/>
        </w:rPr>
        <w:t>minus</w:t>
      </w:r>
      <w:r>
        <w:rPr>
          <w:rFonts w:ascii="Times New Roman" w:hAnsi="Times New Roman"/>
          <w:sz w:val="20"/>
        </w:rPr>
        <w:t xml:space="preserve"> (y) any amounts payable by the Company associated with such Lease Termination, to the extent such amounts have not been previously accounted for in the final determination of the Parent Lease Obligation in accordance with the Merger Agreement, including, for the avoidance of doubt, any expenses incurred in excess of the Lease Negotiation Holdback arising in connection with the engagement of the Lease Representative or other third party (</w:t>
      </w:r>
      <w:r>
        <w:rPr>
          <w:rFonts w:ascii="Times New Roman" w:hAnsi="Times New Roman"/>
          <w:b/>
          <w:sz w:val="20"/>
        </w:rPr>
        <w:t>Lease Representative Expenses</w:t>
      </w:r>
      <w:r>
        <w:rPr>
          <w:rFonts w:ascii="Times New Roman" w:hAnsi="Times New Roman"/>
          <w:sz w:val="20"/>
        </w:rPr>
        <w:t xml:space="preserve">) to the extent such Lease Representative Expenses have not been previously offset from the final determination of Parent Net Cash in accordance with the Merger Agreement and not returned in connection with clause (d) of the definition of Gross Proceeds; </w:t>
      </w:r>
      <w:r>
        <w:rPr>
          <w:rFonts w:ascii="Times New Roman" w:hAnsi="Times New Roman"/>
          <w:i/>
          <w:sz w:val="20"/>
        </w:rPr>
        <w:t>provided</w:t>
      </w:r>
      <w:r>
        <w:rPr>
          <w:rFonts w:ascii="Times New Roman" w:hAnsi="Times New Roman"/>
          <w:sz w:val="20"/>
        </w:rPr>
        <w:t>, that, such expenses shall not include any expenses paid to any broker, advisor or representative that is engaged by the Company without the prior consent of the Lease Representative (such consent not to be unreasonably withheld, conditioned or delayed) (a </w:t>
      </w:r>
      <w:r>
        <w:rPr>
          <w:rFonts w:ascii="Times New Roman" w:hAnsi="Times New Roman"/>
          <w:b/>
          <w:sz w:val="20"/>
        </w:rPr>
        <w:t>Lease Termination CVR</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if prior to or following the Closing, either Lease Agreement is assigned to a third party or subleased, in either case other than pursuant to a Lease Termination (a </w:t>
      </w:r>
      <w:r>
        <w:rPr>
          <w:rFonts w:ascii="Times New Roman" w:hAnsi="Times New Roman"/>
          <w:b/>
          <w:sz w:val="20"/>
        </w:rPr>
        <w:t>Sublease/Partial Assignment</w:t>
      </w:r>
      <w:r>
        <w:rPr>
          <w:rFonts w:ascii="Times New Roman" w:hAnsi="Times New Roman"/>
          <w:sz w:val="20"/>
        </w:rPr>
        <w:t xml:space="preserve">), then, for the period of time beginning on the Closing and ending on the Expiration Date, an amount equal to (w) the sublease payments actually paid by the subtenant to the Lessor or to the Company during any Calendar Half; </w:t>
      </w:r>
      <w:r>
        <w:rPr>
          <w:rFonts w:ascii="Times New Roman" w:hAnsi="Times New Roman"/>
          <w:i/>
          <w:sz w:val="20"/>
        </w:rPr>
        <w:t>provided</w:t>
      </w:r>
      <w:r>
        <w:rPr>
          <w:rFonts w:ascii="Times New Roman" w:hAnsi="Times New Roman"/>
          <w:sz w:val="20"/>
        </w:rPr>
        <w:t xml:space="preserve">, that no CVR Payment shall be owed by the Company to the Holders for amounts paid by the subtenant of the 1616 Eastlake Lease between the date of this agreement and June 30, 2024 and included in the final determination of Parent Net Cash in accordance with the Merger Agreement, </w:t>
      </w:r>
      <w:r>
        <w:rPr>
          <w:rFonts w:ascii="Times New Roman" w:hAnsi="Times New Roman"/>
          <w:i/>
          <w:sz w:val="20"/>
        </w:rPr>
        <w:t>minus</w:t>
      </w:r>
      <w:r>
        <w:rPr>
          <w:rFonts w:ascii="Times New Roman" w:hAnsi="Times New Roman"/>
          <w:sz w:val="20"/>
        </w:rPr>
        <w:t xml:space="preserve"> (x) the amount paid by the Company to the Lessor during such Calendar Half, to the extent such amounts have not been previously accounted for in the final determination of the Parent Lease Obligation in accordance with the Merger Agreement, </w:t>
      </w:r>
      <w:r>
        <w:rPr>
          <w:rFonts w:ascii="Times New Roman" w:hAnsi="Times New Roman"/>
          <w:i/>
          <w:sz w:val="20"/>
        </w:rPr>
        <w:t xml:space="preserve">minus </w:t>
      </w:r>
      <w:r>
        <w:rPr>
          <w:rFonts w:ascii="Times New Roman" w:hAnsi="Times New Roman"/>
          <w:sz w:val="20"/>
        </w:rPr>
        <w:t xml:space="preserve">(y) any expenses associated with the Sublease/Partial Assignment (without duplication), including any Lease Representative Expenses (without duplication) to the extent such Lease Representative Expenses have not been previously offset from the final determination of Parent Net Cash in accordance with the Merger Agreement; </w:t>
      </w:r>
      <w:r>
        <w:rPr>
          <w:rFonts w:ascii="Times New Roman" w:hAnsi="Times New Roman"/>
          <w:i/>
          <w:sz w:val="20"/>
        </w:rPr>
        <w:t>provided</w:t>
      </w:r>
      <w:r>
        <w:rPr>
          <w:rFonts w:ascii="Times New Roman" w:hAnsi="Times New Roman"/>
          <w:sz w:val="20"/>
        </w:rPr>
        <w:t>, that, such expenses shall not include any expenses paid to any broker, advisor or representative that is engaged by the Company without the prior consent of the Lease Representative such consent not to be unreasonably withheld, conditioned or delayed) (a </w:t>
      </w:r>
      <w:r>
        <w:rPr>
          <w:rFonts w:ascii="Times New Roman" w:hAnsi="Times New Roman"/>
          <w:b/>
          <w:sz w:val="20"/>
        </w:rPr>
        <w:t>Lease Sublease CVR</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no event shall the aggregate value of any amounts paid pursuant to clause (b) exceed an amount equal to the Remaining Financial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Lease Representative</w:t>
      </w:r>
      <w:r>
        <w:rPr>
          <w:rFonts w:ascii="Times New Roman" w:hAnsi="Times New Roman"/>
          <w:sz w:val="20"/>
        </w:rPr>
        <w:t xml:space="preserve"> means Donna Cochener and her successors appointed in accordance with Section 4.6.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Lessor</w:t>
      </w:r>
      <w:r>
        <w:rPr>
          <w:rFonts w:ascii="Times New Roman" w:hAnsi="Times New Roman"/>
          <w:sz w:val="20"/>
        </w:rPr>
        <w:t xml:space="preserve"> means the Landlord as defined in each of the Lease Agreements.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Net Proceeds</w:t>
      </w:r>
      <w:r>
        <w:rPr>
          <w:rFonts w:ascii="Times New Roman" w:hAnsi="Times New Roman"/>
          <w:sz w:val="20"/>
        </w:rPr>
        <w:t xml:space="preserve"> means, for any CVR Payment Period, Gross Proceeds minus Permitted Deductions, all as calculated, to the extent in accordance with GAAP, in a manner consistent with the Companys accounting practices and the most recently filed annual audited financial statements with the SEC, except as otherwise set forth herein. For clarity, to the extent Permitted Deductions exceed Gross Proceeds for any CVR Payment Period, any excess Permitted Deductions shall be applied against Gross Proceeds in subsequent CVR Payment Periods.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Officers Certificate</w:t>
      </w:r>
      <w:r>
        <w:rPr>
          <w:rFonts w:ascii="Times New Roman" w:hAnsi="Times New Roman"/>
          <w:sz w:val="20"/>
        </w:rPr>
        <w:t xml:space="preserve"> means a certificate signed by the chief executive officer and the chief financial officer of the Company, in their respective official capacities.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Party</w:t>
      </w:r>
      <w:r>
        <w:rPr>
          <w:rFonts w:ascii="Times New Roman" w:hAnsi="Times New Roman"/>
          <w:sz w:val="20"/>
        </w:rPr>
        <w:t xml:space="preserve"> means the Company or the Rights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Permitted Deductions</w:t>
      </w:r>
      <w:r>
        <w:rPr>
          <w:rFonts w:ascii="Times New Roman" w:hAnsi="Times New Roman"/>
          <w:sz w:val="20"/>
        </w:rPr>
        <w:t xml:space="preserve"> means the sum of: </w:t>
      </w:r>
    </w:p>
    <w:p>
      <w:pPr>
        <w:pStyle w:val="TextBody"/>
        <w:bidi w:val="0"/>
        <w:spacing w:before="120" w:after="0"/>
        <w:jc w:val="left"/>
        <w:rPr>
          <w:rFonts w:ascii="Times New Roman" w:hAnsi="Times New Roman"/>
          <w:sz w:val="20"/>
        </w:rPr>
      </w:pPr>
      <w:r>
        <w:rPr>
          <w:rFonts w:ascii="Times New Roman" w:hAnsi="Times New Roman"/>
          <w:sz w:val="20"/>
        </w:rPr>
        <w:t xml:space="preserve">(a)    any applicable Tax (including any applicable value added or sales taxes) imposed on Gross Proceeds and payable by the Company or any of its Affiliates (regardless of whether the due date for such Taxes arises during or after the Disposition Period) and, without duplication, any income or other similar Taxes payable by the Company or any of its Affiliates that would not have been incurred by the Company or any of its Affiliates but for the Gross Proceeds; </w:t>
      </w:r>
      <w:r>
        <w:rPr>
          <w:rFonts w:ascii="Times New Roman" w:hAnsi="Times New Roman"/>
          <w:i/>
          <w:sz w:val="20"/>
        </w:rPr>
        <w:t>provided</w:t>
      </w:r>
      <w:r>
        <w:rPr>
          <w:rFonts w:ascii="Times New Roman" w:hAnsi="Times New Roman"/>
          <w:sz w:val="20"/>
        </w:rPr>
        <w:t xml:space="preserve"> that, for purposes of calculating income Taxes incurred by the Company or its Affiliates in respect of the Gross Proceeds, any such income Taxes shall be computed based on the gain recognized by the Company or its Affiliates from the Disposition after reduction for any net operating loss carryforwards or other Tax attributes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Company or its Affiliates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in excess, together with any Permitted Deductions pursuant to clause (c), in the aggregate, of the BD CVR Holdback, any out of pocket expenses incurred by the Company or any of its Affiliates in respect of its performance of this Agreement following the Closing Date (other than the fees of the Rights Agent hereunder and any out-of-pocket expenses incurred in the ordinary course in connection with SEC reporting and related financial reporting/accounting matters pertaining to this Agreement, which shall not be a Permitted Deduction) or in respect of its performance of any Contract in connection with any Potentially Transferable Asset, including any costs related to the prosecution, maintenance or enforcement by the Company or any of its Subsidiaries of intellectual property rights that are included in the Potentially Transferable Assets;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in excess, together with any Permitted Deductions pursuant to clause (b), in the aggregate, of the BD CVR Holdback, any additional out of pocket expenses incurred or accrued by the Company or any of its Affiliates in connection with the negotiation, entry into and closing of any Disposition of any Potentially Transferable Asset, including any brokerage fee, finders fee, opinion fee, success fee, transaction fee, service fee or other fee, commission or expense owed to any broker, finder, investment bank, auditor, accountant, counsel, advisor or other third party in relation thereto; </w:t>
      </w:r>
    </w:p>
    <w:p>
      <w:pPr>
        <w:pStyle w:val="TextBody"/>
        <w:bidi w:val="0"/>
        <w:spacing w:before="120" w:after="0"/>
        <w:jc w:val="left"/>
        <w:rPr>
          <w:rFonts w:ascii="Times New Roman" w:hAnsi="Times New Roman"/>
          <w:sz w:val="20"/>
        </w:rPr>
      </w:pPr>
      <w:r>
        <w:rPr>
          <w:rFonts w:ascii="Times New Roman" w:hAnsi="Times New Roman"/>
          <w:sz w:val="20"/>
        </w:rPr>
        <w:t xml:space="preserve">(d)    any Losses incurred or reasonably expected to be incurred by the Company or any of its Affiliates arising out of any third-party claims, demands, actions, or other proceedings relating to or in connection with any Disposition, including indemnification obligations of the Company or any of its Affiliates set forth in any Disposition Agreement or this Agreement; </w:t>
      </w:r>
      <w:r>
        <w:rPr>
          <w:rFonts w:ascii="Times New Roman" w:hAnsi="Times New Roman"/>
          <w:i/>
          <w:sz w:val="20"/>
        </w:rPr>
        <w:t>provided</w:t>
      </w:r>
      <w:r>
        <w:rPr>
          <w:rFonts w:ascii="Times New Roman" w:hAnsi="Times New Roman"/>
          <w:sz w:val="20"/>
        </w:rPr>
        <w:t xml:space="preserve">, that such actual or potential Losses shall no longer be a Permitted Deduction once the risk of Loss has lapsed (at which point the remaining balance shall be subject to distribution hereunder); </w:t>
      </w:r>
    </w:p>
    <w:p>
      <w:pPr>
        <w:pStyle w:val="TextBody"/>
        <w:bidi w:val="0"/>
        <w:spacing w:before="120" w:after="0"/>
        <w:jc w:val="left"/>
        <w:rPr>
          <w:rFonts w:ascii="Times New Roman" w:hAnsi="Times New Roman"/>
          <w:sz w:val="20"/>
        </w:rPr>
      </w:pPr>
      <w:r>
        <w:rPr>
          <w:rFonts w:ascii="Times New Roman" w:hAnsi="Times New Roman"/>
          <w:sz w:val="20"/>
        </w:rPr>
        <w:t xml:space="preserve">(e)    any proceeds in consideration for a Disposition pursuant to a Disposition Agreement included in the final determination of Parent Net Cash in accordance with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    any Liabilities borne by the Company or any of its Affiliates pursuant to Contracts related to Potentially Transferable Assets, including costs arising from the termination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(g)    any Liabilities that were ascertainable prior to or at the Closing and that would have been required to be included in the calculation of Parent Net Cash under clauses (iv) or (v) of such definition in the Merger Agreement, to the extent that deduction of such Liabilities would have resulted in a change in the Exchange Ratio under the Merger Agreement were such amounts properly deducted; </w:t>
      </w:r>
      <w:r>
        <w:rPr>
          <w:rFonts w:ascii="Times New Roman" w:hAnsi="Times New Roman"/>
          <w:i/>
          <w:sz w:val="20"/>
        </w:rPr>
        <w:t>provided</w:t>
      </w:r>
      <w:r>
        <w:rPr>
          <w:rFonts w:ascii="Times New Roman" w:hAnsi="Times New Roman"/>
          <w:sz w:val="20"/>
        </w:rPr>
        <w:t xml:space="preserve">, that if the actual value of any Liabilities that were included in the calculation of Parent Net Cash are determined to be less than the accrued amount of such Liabilities that had been included in the calculation of Parent Net Cash, the amount of Permitted Deductions under this clause (g) shall be reduced by the amount of the difference between such actual value and such accrued amount;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any Liabilities (including professional fees and out-of-pocket expenses) incurred by the Company in pursuit of Tax refunds for the Company relating to Tax Returns filed by the Company prior to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Permitted Transfer</w:t>
      </w:r>
      <w:r>
        <w:rPr>
          <w:rFonts w:ascii="Times New Roman" w:hAnsi="Times New Roman"/>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Section 2.6.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Premises</w:t>
      </w:r>
      <w:r>
        <w:rPr>
          <w:rFonts w:ascii="Times New Roman" w:hAnsi="Times New Roman"/>
          <w:sz w:val="20"/>
        </w:rPr>
        <w:t xml:space="preserve"> means the Premises (as defined, collectively, in the Lease Agreements).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Potentially Transferable Assets</w:t>
      </w:r>
      <w:r>
        <w:rPr>
          <w:rFonts w:ascii="Times New Roman" w:hAnsi="Times New Roman"/>
          <w:sz w:val="20"/>
        </w:rPr>
        <w:t xml:space="preserve"> means any of the assets, technology and intellectual property of the Company related to the Parent Legacy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Remaining Financial Obligations</w:t>
      </w:r>
      <w:r>
        <w:rPr>
          <w:rFonts w:ascii="Times New Roman" w:hAnsi="Times New Roman"/>
          <w:sz w:val="20"/>
        </w:rPr>
        <w:t xml:space="preserve"> means the aggregate amount of the remaining financial obligations of the Company under the Lease Agreements as of a given date, including, without limitation, remaining rent payments (including Base Rent and Additional Rent, as defined in the Lease Agreements), Operating Expenses (as defined in the Lease Agreements) payable by the Company, parking charges, maintenance costs, utilities, and the estimated costs of decommissioning and returning the property to a condition required for surrender to the Lessor (including the remediation of any contamination caused by any Tenant HazMat Operations, as defined in the Lease Agreements).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the Rights Agent pursuant to the applicable provisions of this Agreement, and thereafter Rights Agent will mean such successor Rights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rPr>
        <w:t>Sales and Use Tax Refund Amount</w:t>
      </w:r>
      <w:r>
        <w:rPr>
          <w:rFonts w:ascii="Times New Roman" w:hAnsi="Times New Roman"/>
          <w:sz w:val="20"/>
        </w:rPr>
        <w:t xml:space="preserve"> means the aggregate amount of sales and use tax refunds from the State of Washington received by the Company for the 2019  2022 tax years.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w:t>
      </w:r>
      <w:r>
        <w:rPr>
          <w:rFonts w:ascii="Times New Roman" w:hAnsi="Times New Roman"/>
          <w:b/>
          <w:sz w:val="20"/>
          <w:u w:val="single"/>
        </w:rPr>
        <w:t>Holders of CVRs; Appointment of Rights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represent the rights of Holders to receive CVR Cash Payments or CVR Stock Payments, as elected by the Company in its sole discretion, pursuant to this Agreement. The initial Holders will be the holders of Common Stock and holders of warrants to acquire shares of the Company as of immediately prior to the Effective Time. One CVR will be issued with respect to each share of Common Stock and each warrant to acquire shares of the Company, in each case that is outstanding as of immediately prior to the Effective Time (including, for the avoidance of doubt, those shares of Common Stock issued upon settlement of Parent Restricted Stock Units and Parent Options pursuant to Sections 6.7(a) and (b) of the Merger Agreement); </w:t>
      </w:r>
      <w:r>
        <w:rPr>
          <w:rFonts w:ascii="Times New Roman" w:hAnsi="Times New Roman"/>
          <w:i/>
          <w:sz w:val="20"/>
        </w:rPr>
        <w:t>provided</w:t>
      </w:r>
      <w:r>
        <w:rPr>
          <w:rFonts w:ascii="Times New Roman" w:hAnsi="Times New Roman"/>
          <w:sz w:val="20"/>
        </w:rPr>
        <w:t xml:space="preserve">, that the Company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 additional CVRs to the holders of certain Parent Options from time to time to the extent such holders exercise such Parent Options pursuant to Section 2.6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be issued in book-entry form only and will not be evidenced by a certificate or other instrument. </w:t>
      </w:r>
    </w:p>
    <w:p>
      <w:pPr>
        <w:pStyle w:val="TextBody"/>
        <w:bidi w:val="0"/>
        <w:spacing w:before="12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b/>
          <w:sz w:val="20"/>
        </w:rPr>
        <w:t>CVR Register</w:t>
      </w:r>
      <w:r>
        <w:rPr>
          <w:rFonts w:ascii="Times New Roman" w:hAnsi="Times New Roman"/>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shares of Common Stock held by DTC on behalf of the street holders of the shares of Common Stock held by such holders as of immediately prior to the Effective Time and warrants to acquire shares of the Company as of immediately prior to the Effective Time. In addition, the Rights Agent shall reflect in the CVR Register the additional CVRs issued to the holders of certain Parent Options who exercise such Parent Options pursuant to Section 2.6 of the Merger Agreement. The Rights Agent will have no responsibility whatsoever directly or indirectly to the street name holders with respect to transfers of CVRs. With respect to any payments or issuances to be made under </w:t>
      </w:r>
      <w:r>
        <w:rPr>
          <w:rFonts w:ascii="Times New Roman" w:hAnsi="Times New Roman"/>
          <w:sz w:val="20"/>
          <w:u w:val="single"/>
        </w:rPr>
        <w:t>Section 2.4</w:t>
      </w:r>
      <w:r>
        <w:rPr>
          <w:rFonts w:ascii="Times New Roman" w:hAnsi="Times New Roman"/>
          <w:sz w:val="20"/>
        </w:rPr>
        <w:t xml:space="preserve"> below, the Rights Agent will accomplish the payment to any former street name holders of shares Common Stock by sending one lump-sum payment or issuance to DTC. The Rights Agent will have no responsibilities whatsoever with regard to the distribution of payments or shares of Common Stock by DTC to such 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12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 </w:t>
      </w:r>
    </w:p>
    <w:p>
      <w:pPr>
        <w:pStyle w:val="TextBody"/>
        <w:bidi w:val="0"/>
        <w:spacing w:before="120" w:after="0"/>
        <w:jc w:val="left"/>
        <w:rPr>
          <w:rFonts w:ascii="Times New Roman" w:hAnsi="Times New Roman"/>
          <w:sz w:val="20"/>
        </w:rPr>
      </w:pPr>
      <w:r>
        <w:rPr>
          <w:rFonts w:ascii="Times New Roman" w:hAnsi="Times New Roman"/>
          <w:sz w:val="20"/>
        </w:rPr>
        <w:t>(e)    The Company will provide written instructions to the Rights Agent for the distribution of CVRs to holders of Common Stock as of immediately prior to the Effective Time (the </w:t>
      </w:r>
      <w:r>
        <w:rPr>
          <w:rFonts w:ascii="Times New Roman" w:hAnsi="Times New Roman"/>
          <w:b/>
          <w:sz w:val="20"/>
        </w:rPr>
        <w:t>Record Time</w:t>
      </w:r>
      <w:r>
        <w:rPr>
          <w:rFonts w:ascii="Times New Roman" w:hAnsi="Times New Roman"/>
          <w:sz w:val="20"/>
        </w:rPr>
        <w:t xml:space="preserve">). Subject to the terms and conditions of this Agreement and the Companys prompt confirmation of the Effective Time, the Rights Agent shall effect the distribution of the CVRs to each holder of Common Stock and each holder of warrants to acquire shares of the Company as of the Record Time, and to each holder of Parent Options exercising such Parent Options after the Record Time, in each case less any applicable tax withholding, by the mailing of a statement of holding reflecting such CVRs.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any payment or partial payment of a CVR Payment that the Company has elected, in its sole discretion, to settle via a CVR Stock Payment, the Company shall, no later than 45 days following the end of each CVR Payment Period during the CVR Term, commencing with the first CVR Payment Period in which the Company or its Affiliates receives Gross Proceeds or any Lease CVR Amounts arising in connection with a Lease Termination CVR or a Lease Sublease CVR, deliver to the Rights Agent a CVR Payment Statement for such CVR Payment Period. Concurrent with the delivery of each CVR Payment Statement, on the terms and conditions of this Agreement, the Company will make appropriate arrangements with the Rights Agent for shares of Common Stock represented by book-entry shares to be issued as the CVR Stock Payment. Upon receipt of the book-entry shares referred to in the foregoing sentence, the Rights Agent shall promptly (and in any event, within 10 Business Days) distribute to each Holder by book-entry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shares of Common Stock equal to such Holders CVR Payment Amount; </w:t>
      </w:r>
      <w:r>
        <w:rPr>
          <w:rFonts w:ascii="Times New Roman" w:hAnsi="Times New Roman"/>
          <w:i/>
          <w:sz w:val="20"/>
        </w:rPr>
        <w:t>provided</w:t>
      </w:r>
      <w:r>
        <w:rPr>
          <w:rFonts w:ascii="Times New Roman" w:hAnsi="Times New Roman"/>
          <w:sz w:val="20"/>
        </w:rPr>
        <w:t xml:space="preserve">, that, to the extent the foregoing would result in a Holder receiving a fractional share of Common Stock, such Holder shall forfeit such fractional share. The Rights Agent shall promptly, and in any event within 10 Business Days after receipt of a CVR Payment Statement under this </w:t>
      </w:r>
      <w:r>
        <w:rPr>
          <w:rFonts w:ascii="Times New Roman" w:hAnsi="Times New Roman"/>
          <w:sz w:val="20"/>
          <w:u w:val="single"/>
        </w:rPr>
        <w:t>Section 2.4(a)</w:t>
      </w:r>
      <w:r>
        <w:rPr>
          <w:rFonts w:ascii="Times New Roman" w:hAnsi="Times New Roman"/>
          <w:sz w:val="20"/>
        </w:rPr>
        <w:t xml:space="preserve">, send each Holder at its registered address a copy of such statement. Without limiting any of the rights of the Rights Agent under the Agreement, for the avoidance of doubt, except as set forth in </w:t>
      </w:r>
      <w:r>
        <w:rPr>
          <w:rFonts w:ascii="Times New Roman" w:hAnsi="Times New Roman"/>
          <w:sz w:val="20"/>
          <w:u w:val="single"/>
        </w:rPr>
        <w:t>Section 4.5</w:t>
      </w:r>
      <w:r>
        <w:rPr>
          <w:rFonts w:ascii="Times New Roman" w:hAnsi="Times New Roman"/>
          <w:sz w:val="20"/>
        </w:rPr>
        <w:t xml:space="preserve">, the Company shall have no further liability in respect of the relevant CVR Stock Payment upon delivery instructions to the Rights Agents of such CVR Stock Payment in accordance with this </w:t>
      </w:r>
      <w:r>
        <w:rPr>
          <w:rFonts w:ascii="Times New Roman" w:hAnsi="Times New Roman"/>
          <w:sz w:val="20"/>
          <w:u w:val="single"/>
        </w:rPr>
        <w:t>Section 2.4(a)</w:t>
      </w:r>
      <w:r>
        <w:rPr>
          <w:rFonts w:ascii="Times New Roman" w:hAnsi="Times New Roman"/>
          <w:sz w:val="20"/>
        </w:rPr>
        <w:t xml:space="preserve"> and the satisfaction of each of the Company obligations set forth in this </w:t>
      </w:r>
      <w:r>
        <w:rPr>
          <w:rFonts w:ascii="Times New Roman" w:hAnsi="Times New Roman"/>
          <w:sz w:val="20"/>
          <w:u w:val="single"/>
        </w:rPr>
        <w:t>Section 2.4(a)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For any payment or partial payment of a CVR Payment that the Company has elected, in its sole discretion, to settle via a CVR Cash Payment, the Company shall, no later than 45 days following the end of each CVR Payment Period during the CVR Term, commencing with the first CVR Payment Period in which the Company or its Affiliates receives Gross Proceeds or any Lease CVR Amounts arising in connection with a Lease Termination CVR or a Lease Sublease CVR, the Company shall deliver to the Rights Agent a CVR Payment Statement for the such CVR Payment Period. Concurrent with the delivery of each CVR Payment Statement, on the terms and conditions of this Agreement, the Company shall pay the Rights Agent in U.S. dollars an amount equal to the CVR Payment for the applicable CVR Payment Period. Such amount of Net Proceeds will be transferred by wire transfer of immediately available funds to an account designated in writing by the Rights Agent not less than 20 Business Days prior to the date of the applicable payment. Upon receipt of the wire transfer referred to in the foregoing sentence, the Rights Agent shall promptly (and in any event, within 10 Business Days) pay, by check mailed, first-class postage prepaid, to the address each Holder set forth in the CVR Register at such time or by other method of deliver as specified by the applicable Holder in writing to the Rights Agent, an amount equal to such Holders CVR Payment Amount. The Rights Agent shall as soon as practicable after receipt of a CVR Payment Statement under this </w:t>
      </w:r>
      <w:r>
        <w:rPr>
          <w:rFonts w:ascii="Times New Roman" w:hAnsi="Times New Roman"/>
          <w:sz w:val="20"/>
          <w:u w:val="single"/>
        </w:rPr>
        <w:t>Section 2.4(b)</w:t>
      </w:r>
      <w:r>
        <w:rPr>
          <w:rFonts w:ascii="Times New Roman" w:hAnsi="Times New Roman"/>
          <w:sz w:val="20"/>
        </w:rPr>
        <w:t xml:space="preserve">, send each Holder at its registered address a copy of such statement. For the avoidance of doubt the Company shall have no further liability in respect of the relevant CVR Cash Payment upon delivery of such CVR Cash Payment in accordance with this </w:t>
      </w:r>
      <w:r>
        <w:rPr>
          <w:rFonts w:ascii="Times New Roman" w:hAnsi="Times New Roman"/>
          <w:sz w:val="20"/>
          <w:u w:val="single"/>
        </w:rPr>
        <w:t>Section 2.4(b)</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The Rights Agent shall solicit from each Holder an IRS Form W-9 or applicable IRS Form W-8 at such time or times as is necessary to permit any payment under this Agreement to be made without U.S. federal backup withholding. That notwithstanding, the Company shall be entitled to deduct and withhold and hereby authorizes the Rights Agent to deduct and withhold, any tax or similar governmental charge or levy, that is required to be deducted or withheld under applicable law from any amounts payable pursuant to this Agreement (</w:t>
      </w:r>
      <w:r>
        <w:rPr>
          <w:rFonts w:ascii="Times New Roman" w:hAnsi="Times New Roman"/>
          <w:b/>
          <w:sz w:val="20"/>
        </w:rPr>
        <w:t>Withholding Taxes</w:t>
      </w:r>
      <w:r>
        <w:rPr>
          <w:rFonts w:ascii="Times New Roman" w:hAnsi="Times New Roman"/>
          <w:sz w:val="20"/>
        </w:rPr>
        <w:t xml:space="preserve">). To the extent the amounts are so withheld by the Company or the Rights Agent, as the case may be, and paid over to the appropriate Governmental Authority, such withheld amounts shall be treated for all purposes of this Agreement as having been paid to the person in respect of whom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deduction and withholding was made. In the event the Company becomes aware that a payment under this Agreement is subject to Withholding Taxes (other than U.S. federal backup withholding), the Company shall use commercially reasonable efforts to provide written notice to the Rights Agent and the Rights Agent shall use commercially reasonable efforts to provide written notice of such Withholding Taxes to the applicable Holders and the Company and the Holders shall use commercially reasonable efforts cooperate with one another to minimize taxes required by applicable law to be withheld or deducted from any payments made under this Agreement. For the avoidance of doubt, in the event that notice has been provided to an applicable Holder pursuant to this </w:t>
      </w:r>
      <w:r>
        <w:rPr>
          <w:rFonts w:ascii="Times New Roman" w:hAnsi="Times New Roman"/>
          <w:sz w:val="20"/>
          <w:u w:val="single"/>
        </w:rPr>
        <w:t>Section 2.4(c)</w:t>
      </w:r>
      <w:r>
        <w:rPr>
          <w:rFonts w:ascii="Times New Roman" w:hAnsi="Times New Roman"/>
          <w:sz w:val="20"/>
        </w:rPr>
        <w:t xml:space="preserve">, no further notice shall be required to be given for any future payments of such Withholding Tax. The Company will use commercially reasonable efforts to provide withholding and reporting instructions in writing (email being sufficient) to the Rights Agent from time to time as relevant, and upon reasonable request of the Rights Agent. The Rights Agent shall have no responsibilities with respect to tax withholding, reporting or payment except as set forth herein or as specifically instructed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(d)    The parties intend that each CVR Payment be treated as a distribution with respect to equity of the Company, and the parties shall file all Tax Returns in a manner consistent with such treatment unless otherwise required by a change in Law or the good-faith resolution of a controversy with a tax authority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(e)    Any portion of a CVR Payment that remains undistributed to the Holders six months after the applicable Calendar Quarter end (including by means of uncashed checks or invalid addresses on the CVR Register) will be delivered by the Rights Agent to the Company or a person nominated in writing by the Company (with written notice thereof from the Company to the Rights Agent), and any Holder will thereafter look only to the Company for payment of such CVR Payment (which shall be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(f)    If any CVR Payment (or portion thereof) remains unclaimed by a Holder two years after the applicable Calendar Quarter end (or immediately prior to such earlier date on which such CVR Payment would otherwise escheat to or become the property of any Governmental Authority), such CVR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office or a person nominated in writing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w:t>
      </w:r>
      <w:r>
        <w:rPr>
          <w:rFonts w:ascii="Times New Roman" w:hAnsi="Times New Roman"/>
          <w:b/>
          <w:sz w:val="20"/>
          <w:u w:val="single"/>
        </w:rPr>
        <w:t>No Voting, Dividends or Interest; No Equity or Ownership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not have any voting or dividend rights, and interest will not accrue on any amounts payable in respect of CVRs to any Holder. </w:t>
      </w:r>
    </w:p>
    <w:p>
      <w:pPr>
        <w:pStyle w:val="TextBody"/>
        <w:bidi w:val="0"/>
        <w:spacing w:before="120" w:after="0"/>
        <w:jc w:val="left"/>
        <w:rPr>
          <w:rFonts w:ascii="Times New Roman" w:hAnsi="Times New Roman"/>
          <w:sz w:val="20"/>
        </w:rPr>
      </w:pPr>
      <w:r>
        <w:rPr>
          <w:rFonts w:ascii="Times New Roman" w:hAnsi="Times New Roman"/>
          <w:sz w:val="20"/>
        </w:rPr>
        <w:t xml:space="preserve">(b)    The CVRs will not represent any equity or ownership interest in the Company or in any constituent company to the Merger. It is hereby acknowledged and agreed that a CVR shall not constitute a security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w:t>
      </w:r>
      <w:r>
        <w:rPr>
          <w:rFonts w:ascii="Times New Roman" w:hAnsi="Times New Roman"/>
          <w:b/>
          <w:sz w:val="20"/>
          <w:u w:val="single"/>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under this Agreement will be limited to the amount of annual fees paid by the Company to the Rights Agent in connection with this Agreement (but not including reimbursable expenses and other charges) during the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or Neurogene.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w:t>
      </w:r>
      <w:r>
        <w:rPr>
          <w:rFonts w:ascii="Times New Roman" w:hAnsi="Times New Roman"/>
          <w:b/>
          <w:sz w:val="20"/>
          <w:u w:val="single"/>
        </w:rPr>
        <w:t>Certain Rights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 w:hAnsi="Times New Roman"/>
          <w:sz w:val="20"/>
          <w:u w:val="single"/>
        </w:rPr>
        <w:t>Section 2.3(d)</w:t>
      </w:r>
      <w:r>
        <w:rPr>
          <w:rFonts w:ascii="Times New Roman" w:hAnsi="Times New Roman"/>
          <w:sz w:val="20"/>
        </w:rPr>
        <w:t xml:space="preserve">, the Acting Holders. </w:t>
      </w:r>
    </w:p>
    <w:p>
      <w:pPr>
        <w:pStyle w:val="TextBody"/>
        <w:bidi w:val="0"/>
        <w:spacing w:before="120" w:after="0"/>
        <w:jc w:val="left"/>
        <w:rPr>
          <w:rFonts w:ascii="Times New Roman" w:hAnsi="Times New Roman"/>
          <w:sz w:val="20"/>
        </w:rPr>
      </w:pPr>
      <w:r>
        <w:rPr>
          <w:rFonts w:ascii="Times New Roman" w:hAnsi="Times New Roman"/>
          <w:sz w:val="20"/>
        </w:rPr>
        <w:t xml:space="preserve">(c)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(each as determined by a final non-appealable judgment of a court of competent jurisdiction) on its part, not incur any liability and shall be held harmless by the Company for or in respect of any action taken or omitted to be taken by it under the provisions of this Agreement in reliance upon such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(d)    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permissive rights of the Rights Agent hereunder will not be construed as a duty. </w:t>
      </w:r>
    </w:p>
    <w:p>
      <w:pPr>
        <w:pStyle w:val="TextBody"/>
        <w:bidi w:val="0"/>
        <w:spacing w:before="120" w:after="0"/>
        <w:jc w:val="left"/>
        <w:rPr>
          <w:rFonts w:ascii="Times New Roman" w:hAnsi="Times New Roman"/>
          <w:sz w:val="20"/>
        </w:rPr>
      </w:pPr>
      <w:r>
        <w:rPr>
          <w:rFonts w:ascii="Times New Roman" w:hAnsi="Times New Roman"/>
          <w:sz w:val="20"/>
        </w:rPr>
        <w:t xml:space="preserve">(f)    The Rights Agent will not be required to give any note or surety in respect of the execution of its powers or otherwise under this Agreement. </w:t>
      </w:r>
    </w:p>
    <w:p>
      <w:pPr>
        <w:pStyle w:val="TextBody"/>
        <w:bidi w:val="0"/>
        <w:spacing w:before="120" w:after="0"/>
        <w:jc w:val="left"/>
        <w:rPr>
          <w:rFonts w:ascii="Times New Roman" w:hAnsi="Times New Roman"/>
          <w:sz w:val="20"/>
        </w:rPr>
      </w:pPr>
      <w:r>
        <w:rPr>
          <w:rFonts w:ascii="Times New Roman" w:hAnsi="Times New Roman"/>
          <w:sz w:val="20"/>
        </w:rPr>
        <w:t>(g)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Section 3.2(g)</w:t>
      </w:r>
      <w:r>
        <w:rPr>
          <w:rFonts w:ascii="Times New Roman" w:hAnsi="Times New Roman"/>
          <w:sz w:val="20"/>
        </w:rPr>
        <w:t xml:space="preserve"> shall not apply with respect to income, receipt, franchise or similar Taxes levied against the Rights Agent by a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(h)    The Company agrees (i) to pay the fees of the Rights Agent in connection with the Rights Agents performance of its obligations hereunder as set forth in </w:t>
      </w:r>
      <w:r>
        <w:rPr>
          <w:rFonts w:ascii="Times New Roman" w:hAnsi="Times New Roman"/>
          <w:sz w:val="20"/>
          <w:u w:val="single"/>
        </w:rPr>
        <w:t>Exhibit A</w:t>
      </w:r>
      <w:r>
        <w:rPr>
          <w:rFonts w:ascii="Times New Roman" w:hAnsi="Times New Roman"/>
          <w:sz w:val="20"/>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hAnsi="Times New Roman"/>
          <w:sz w:val="20"/>
          <w:u w:val="single"/>
        </w:rPr>
        <w:t>Section 2.4(a)</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or </w:t>
      </w:r>
      <w:r>
        <w:rPr>
          <w:rFonts w:ascii="Times New Roman" w:hAnsi="Times New Roman"/>
          <w:sz w:val="20"/>
          <w:u w:val="single"/>
        </w:rPr>
        <w:t>Section 3.2(g)</w:t>
      </w:r>
      <w:r>
        <w:rPr>
          <w:rFonts w:ascii="Times New Roman" w:hAnsi="Times New Roman"/>
          <w:sz w:val="20"/>
        </w:rPr>
        <w:t xml:space="preserve">, if the Company is found by a court of competent jurisdiction to be liable to the Rights Agent or the Holders, as applicable in such suit. </w:t>
      </w:r>
    </w:p>
    <w:p>
      <w:pPr>
        <w:pStyle w:val="TextBody"/>
        <w:bidi w:val="0"/>
        <w:spacing w:before="120" w:after="0"/>
        <w:jc w:val="left"/>
        <w:rPr>
          <w:rFonts w:ascii="Times New Roman" w:hAnsi="Times New Roman"/>
          <w:sz w:val="20"/>
        </w:rPr>
      </w:pPr>
      <w:r>
        <w:rPr>
          <w:rFonts w:ascii="Times New Roman" w:hAnsi="Times New Roman"/>
          <w:sz w:val="20"/>
        </w:rPr>
        <w:t xml:space="preserve">(i)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Rights Agent shall have no responsibility to the Company, any holders of CVRs, any holders of shares of Common Stock or any other Person for interest or earnings on any moneys held by the Rights Agent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The Rights Agent shall not be subject to, nor be required to comply with, or determine if any Person has complied with, the Merger Agreement or any other agreement between or among any the Company, Neurogene or Holders, even though reference thereto may be made in this Agreement, or to comply with any notice, instruction, direction, request or other communication, paper or document other than as expressly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Subject to applicable Law, (i) the Rights Agent and any shareholder, affiliate, director, officer or employee of the Rights Agent may buy, sell or deal in any securities of the Company or Neurogene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(m)    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(n)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Neurogene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before="120" w:after="0"/>
        <w:jc w:val="left"/>
        <w:rPr>
          <w:rFonts w:ascii="Times New Roman" w:hAnsi="Times New Roman"/>
          <w:sz w:val="20"/>
        </w:rPr>
      </w:pPr>
      <w:r>
        <w:rPr>
          <w:rFonts w:ascii="Times New Roman" w:hAnsi="Times New Roman"/>
          <w:sz w:val="20"/>
        </w:rPr>
        <w:t xml:space="preserve">(o)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before="120" w:after="0"/>
        <w:jc w:val="left"/>
        <w:rPr>
          <w:rFonts w:ascii="Times New Roman" w:hAnsi="Times New Roman"/>
          <w:sz w:val="20"/>
        </w:rPr>
      </w:pPr>
      <w:r>
        <w:rPr>
          <w:rFonts w:ascii="Times New Roman" w:hAnsi="Times New Roman"/>
          <w:sz w:val="20"/>
        </w:rPr>
        <w:t xml:space="preserve">(q)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120" w:after="0"/>
        <w:jc w:val="left"/>
        <w:rPr>
          <w:rFonts w:ascii="Times New Roman" w:hAnsi="Times New Roman"/>
          <w:sz w:val="20"/>
        </w:rPr>
      </w:pPr>
      <w:r>
        <w:rPr>
          <w:rFonts w:ascii="Times New Roman" w:hAnsi="Times New Roman"/>
          <w:sz w:val="20"/>
        </w:rPr>
        <w:t xml:space="preserve">(r)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 </w:t>
      </w:r>
    </w:p>
    <w:p>
      <w:pPr>
        <w:pStyle w:val="TextBody"/>
        <w:bidi w:val="0"/>
        <w:spacing w:before="120" w:after="0"/>
        <w:jc w:val="left"/>
        <w:rPr>
          <w:rFonts w:ascii="Times New Roman" w:hAnsi="Times New Roman"/>
          <w:sz w:val="20"/>
        </w:rPr>
      </w:pPr>
      <w:r>
        <w:rPr>
          <w:rFonts w:ascii="Times New Roman" w:hAnsi="Times New Roman"/>
          <w:sz w:val="20"/>
        </w:rPr>
        <w:t xml:space="preserve">(s)    The obligations of the Company and the rights of the Rights Agent under </w:t>
      </w:r>
      <w:r>
        <w:rPr>
          <w:rFonts w:ascii="Times New Roman" w:hAnsi="Times New Roman"/>
          <w:sz w:val="20"/>
          <w:u w:val="single"/>
        </w:rPr>
        <w:t>Section 2.4</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this </w:t>
      </w:r>
      <w:r>
        <w:rPr>
          <w:rFonts w:ascii="Times New Roman" w:hAnsi="Times New Roman"/>
          <w:sz w:val="20"/>
          <w:u w:val="single"/>
        </w:rPr>
        <w:t>Section 3.2</w:t>
      </w:r>
      <w:r>
        <w:rPr>
          <w:rFonts w:ascii="Times New Roman" w:hAnsi="Times New Roman"/>
          <w:sz w:val="20"/>
        </w:rPr>
        <w:t xml:space="preserve"> and shall survive the expiration of the CVRs and the termination of this Agreement and the resignation, replacement or removal of the Rights Agent.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30 days following the date that such resignation notice is delivered), and such resignation will be effective on the earlier of (x) the date so specified and (y) the appointment of a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30 days prior to the date so specified (or, if earlier, the appointment of the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appointment within a period of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7.2</w:t>
      </w:r>
      <w:r>
        <w:rPr>
          <w:rFonts w:ascii="Times New Roman" w:hAnsi="Times New Roman"/>
          <w:sz w:val="20"/>
        </w:rPr>
        <w:t xml:space="preserve">. Each notice will include the name and address of the successor Rights Agent. If the Company fails to send such notice within 10 Business Days after acceptance of appointment by a successor Rights Agent, the successor Rights Agent will cause the notice to be mailed at the expense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Acting Holders, the Company will not appoint as a successor Rights Agent any Person that is not a stock transfer agent of national reputation or the corporate trust department of a commercial bank. </w:t>
      </w:r>
    </w:p>
    <w:p>
      <w:pPr>
        <w:pStyle w:val="TextBody"/>
        <w:bidi w:val="0"/>
        <w:spacing w:before="12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w:t>
      </w:r>
      <w:r>
        <w:rPr>
          <w:rFonts w:ascii="Times New Roman" w:hAnsi="Times New Roman"/>
          <w:b/>
          <w:sz w:val="20"/>
          <w:u w:val="single"/>
        </w:rPr>
        <w:t>List of Holders</w:t>
      </w:r>
      <w:r>
        <w:rPr>
          <w:rFonts w:ascii="Times New Roman" w:hAnsi="Times New Roman"/>
          <w:sz w:val="20"/>
        </w:rPr>
        <w:t xml:space="preserve">. The Company will furnish or cause to be furnished to the Rights Agent, in such form as the Company receives from the Companys transfer agent (or other agent performing similar services for the Company), the names and addresses of the Holders within 15 Business Days following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w:t>
      </w:r>
      <w:r>
        <w:rPr>
          <w:rFonts w:ascii="Times New Roman" w:hAnsi="Times New Roman"/>
          <w:b/>
          <w:sz w:val="20"/>
          <w:u w:val="single"/>
        </w:rPr>
        <w:t>No Obligations of Public Company</w:t>
      </w:r>
      <w:r>
        <w:rPr>
          <w:rFonts w:ascii="Times New Roman" w:hAnsi="Times New Roman"/>
          <w:sz w:val="20"/>
        </w:rPr>
        <w:t xml:space="preserve">. For the avoidance of doubt: (a) except as otherwise expressly provided in this </w:t>
      </w:r>
      <w:r>
        <w:rPr>
          <w:rFonts w:ascii="Times New Roman" w:hAnsi="Times New Roman"/>
          <w:sz w:val="20"/>
          <w:u w:val="single"/>
        </w:rPr>
        <w:t>Article 4</w:t>
      </w:r>
      <w:r>
        <w:rPr>
          <w:rFonts w:ascii="Times New Roman" w:hAnsi="Times New Roman"/>
          <w:sz w:val="20"/>
        </w:rPr>
        <w:t xml:space="preserve">, the Company and 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 (b) none of the Company or any of its Affiliates (or any directors, officer, employee, or other representative of the foregoing) owes any fiduciary duty or similar duty to any Holder in respect of the Potentially Transferable Assets, and (c) following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Disposition Period, the Company shall be permitted to take any action in respect of the Potentially Transferable Assets in order to satisfy any wind-down and termination Liabilities of the Potentially Transferable Assets.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w:t>
      </w:r>
      <w:r>
        <w:rPr>
          <w:rFonts w:ascii="Times New Roman" w:hAnsi="Times New Roman"/>
          <w:b/>
          <w:sz w:val="20"/>
          <w:u w:val="single"/>
        </w:rPr>
        <w:t>Prohibited Actions</w:t>
      </w:r>
      <w:r>
        <w:rPr>
          <w:rFonts w:ascii="Times New Roman" w:hAnsi="Times New Roman"/>
          <w:sz w:val="20"/>
        </w:rPr>
        <w:t xml:space="preserve">. Unless approved by the Acting Holders, prior to the end of the Disposition Period, the Company shall not grant any lien, security interest, pledge or similar interest in any Potentially Transferable Assets or any Net Proceeds. Unless approved by the Acting Holders, prior to end of the Disposition Period, the Company shall not, and shall not permit its Affiliates to, grant, assign, transfer or otherwise convey any Potentially Transferable Assets (including any option to obtain rights) to any third party other than pursuant to a Disposition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w:t>
      </w:r>
      <w:r>
        <w:rPr>
          <w:rFonts w:ascii="Times New Roman" w:hAnsi="Times New Roman"/>
          <w:b/>
          <w:sz w:val="20"/>
          <w:u w:val="single"/>
        </w:rPr>
        <w:t>Books and Records</w:t>
      </w:r>
      <w:r>
        <w:rPr>
          <w:rFonts w:ascii="Times New Roman" w:hAnsi="Times New Roman"/>
          <w:sz w:val="20"/>
        </w:rPr>
        <w:t xml:space="preserve">.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w:t>
      </w:r>
      <w:r>
        <w:rPr>
          <w:rFonts w:ascii="Times New Roman" w:hAnsi="Times New Roman"/>
          <w:b/>
          <w:sz w:val="20"/>
          <w:u w:val="single"/>
        </w:rPr>
        <w:t>Audits</w:t>
      </w:r>
      <w:r>
        <w:rPr>
          <w:rFonts w:ascii="Times New Roman" w:hAnsi="Times New Roman"/>
          <w:sz w:val="20"/>
        </w:rPr>
        <w:t xml:space="preserve">. Until the expiration of this Agreement and for a period of one year thereafter, the Company shall keep complete and accurate records in sufficient detail to support the accuracy of the payments due hereunder. The Acting Holders shall have the right to cause an independent accounting firm reasonably acceptable to the Company to audit such records for the sole purpose of confirming payments for a period covering not more than the date commencing with the first CVR Payment Period in which the Company or its Affiliates receives Gross Proceeds and ending on the last day of the CVR Term. The Company may require such accounting firm to execute a reasonable confidentiality agreement with the Company prior to commencing the audit. The accounting firm shall disclose to Rights Agent or the Acting Holders,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Acting Holders, as applicable, unless after an accounting period has been audited by the Acting Holders, as applicable, the Company restates its financial results for such accounting period, in which event the Acting Holders, as applicable, may conduct a second audit of such accounting period in accordance with this </w:t>
      </w:r>
      <w:r>
        <w:rPr>
          <w:rFonts w:ascii="Times New Roman" w:hAnsi="Times New Roman"/>
          <w:sz w:val="20"/>
          <w:u w:val="single"/>
        </w:rPr>
        <w:t>Section 4.5</w:t>
      </w:r>
      <w:r>
        <w:rPr>
          <w:rFonts w:ascii="Times New Roman" w:hAnsi="Times New Roman"/>
          <w:sz w:val="20"/>
        </w:rPr>
        <w:t xml:space="preserv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Statement for the relevant CVR Payment Period.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Acting Holders, as applicable, shall bear the full cost and expense of such audit unless such audit discloses an underpayment by the Company of 10% or more of the CVR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4.5</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w:t>
      </w:r>
      <w:r>
        <w:rPr>
          <w:rFonts w:ascii="Times New Roman" w:hAnsi="Times New Roman"/>
          <w:b/>
          <w:sz w:val="20"/>
          <w:u w:val="single"/>
        </w:rPr>
        <w:t>Lease Representative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Lease Representative shall use commercially reasonable efforts to negotiate a Lease Termination or Sublease/Partial Assignment as soon as practicable after the Closing taking into consideration market conditions for facilities comparable to the Premises. The Lease Representative and any brokers or other agents engaged by the Company shall be promptly reimbursed by the Company for any out-of-pocket expenses, as well as reasonable compensation for the Lease Representatives services at a rate of $375.00 per hour (such aggregate expenses and compensation not to exceed the amount of the Lease Negotiation Holdback that is not returned in connection with clause (d) of the definition of Gross Proceeds). The Lease Representative and the real estate broker shall provide periodic updates (no less than once per month) in the form of a written report (unless otherwise agreed) to the Companys Chief Financial Officer regarding material developments relating to activities in support of a Lease Termination or Sublease/Partial Assignment. Lease Representative and real estate broker shall not engage in any lease negotiations without engaging with the Companys Chief Financial Officer in any such negotiations regarding a potential Lease Termination or Sublease/Partial Assignment. The Lease Representative shall have no authority to bind the Company or act as an officer, employee or agent of the Company. Upon the Companys entry into a Lease Termination or Sublease/Partial Assignment, the Lease Representatives role shall terminate. The Lease Representative may resign at any time by written notice to the Company and any such resignation notice shall specify the date on which such resignation will take effect (which shall be at least 60 days following the date that such resignation notice is delivered), and such resignation will be effective on the earlier of (x) the date so specified and (y) the appointment of a successor Lease Representative. If the Lease Representative shall be unable to serve in such capacity for a period of 60 consecutive days for any reason prior to the termination of the role or if the Lease Representative resigns pursuant to the immediately preceding sentence, a successor Lease Representative shall be promptly appointed by the Company (which person shall, if an alternate Lease Representative shall have previously been designated by the prior Lease Representative, be the person so designated).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agrees to indemnify the Lease Representative for, and to hold the Lease Representative harmless from and against, any Loss suffered or incurred by the Lease Representative and arising out of or in connection with the Lease Representatives performance of its obligations under this Agreement, including the reasonable and documented costs and expenses of defending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Lease Representatives gross negligence, bad faith or willful misconduct;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Section 4.6(b)</w:t>
      </w:r>
      <w:r>
        <w:rPr>
          <w:rFonts w:ascii="Times New Roman" w:hAnsi="Times New Roman"/>
          <w:sz w:val="20"/>
        </w:rPr>
        <w:t xml:space="preserve"> shall not apply with respect to income, receipt, franchise or similar Taxes levied against the Lease Representative by a Governmental Authority. For the avoidance of doubt, the aggregate cost of the Companys indemnification obligations under this Section 4.6(b) shall constitute a Permitted Deduction.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w:t>
      </w:r>
      <w:r>
        <w:rPr>
          <w:rFonts w:ascii="Times New Roman" w:hAnsi="Times New Roman"/>
          <w:b/>
          <w:sz w:val="20"/>
          <w:u w:val="single"/>
        </w:rPr>
        <w:t>Engagement of Advisors</w:t>
      </w:r>
      <w:r>
        <w:rPr>
          <w:rFonts w:ascii="Times New Roman" w:hAnsi="Times New Roman"/>
          <w:sz w:val="20"/>
        </w:rPr>
        <w:t xml:space="preserve">. During the Disposition Period, the Company may engage one or more consultants, investment banks and other advisors to assist with the marketing and sale of the Potentially Transferrable Assets and shall fund such expenses up to the amount of the BD CVR Holdback. During the Disposition Period, the Company will use reasonable efforts to maintain the assets included in the Potentially Transferable Assets, including maintaining the registration of the registered intellectual property rights set forth on Schedule 4.7, but only to the extent that the out-of-pocket costs thereof, in the aggregate, together with any Permitted Deductions pursuant to clauses (b) and (c) of the definition of Permitted Deductions, do not exceed the BD CVR Holdback. The Company will use commercially reasonable efforts to negotiate in good faith with prospective counterparties who make bona fide offers with respect to the Potentially Transferrable Assets during the Disposition Period, consummate any Dispositions of the Potentially Transferrable Assets that are successfully negotiated during the Disposition Period and act in good faith with respect to any potential Disposition. For the avoidance of doubt, the Company shall have no obligation to undertake any marketing efforts with respect to the Potentially Transferrable Assets during the Disposition Period, nor shall the Company have any obligation to solicit competing bids or otherwise maximize the value of any Disposition.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w:t>
      </w:r>
      <w:r>
        <w:rPr>
          <w:rFonts w:ascii="Times New Roman" w:hAnsi="Times New Roman"/>
          <w:b/>
          <w:sz w:val="20"/>
          <w:u w:val="single"/>
        </w:rPr>
        <w:t>Additional Covenants</w:t>
      </w:r>
      <w:r>
        <w:rPr>
          <w:rFonts w:ascii="Times New Roman" w:hAnsi="Times New Roman"/>
          <w:sz w:val="20"/>
        </w:rPr>
        <w:t xml:space="preserve">. The Company shall use commercially reasonable efforts to pursue the Sales and Use Tax Refund Amount to the extent consistent with applicable Tax Law. The Company shall work with the Lease Representative and shall use commercially reasonable efforts to effectuate a Lease Termination or Sublease/Partial Assignment as soon as practicable after the Closing taking into consideration market conditions for facilities comparable to the Premises, including by (a) continuing to engage a real estate broker with relevant experience and directing that the Premises be listed at market rental rates, (b) maintaining the Premises in appropriate operating condition, (c) allowing potential assignees or lessees to visit and inspect the Premises during normal business hours upon reasonable prior notice, (d) taking actions customary of a tenant seeking to sublease or assign facilities comparable to the Premises in a reasonably expeditious manner and (e) otherwise cooperating with the Lease Representative and acting in good faith with respect to obtaining, negotiating and effectuating a Lease Termination or Sublease/Partial Assignment. The Company and the Lease Representative will meet periodically (at least quarterly) to discuss the status of the efforts of the Company and the Lease Representative to effectuate and negotiate a Lease Termination or Sublease/Partial Assignment. The Company shall not terminate, assign, sublease or materially modify or amend any Lease Agreement without the prior written consent of the Lease Representative (such consent not to be unreasonably withheld, conditioned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w:t>
      </w:r>
      <w:r>
        <w:rPr>
          <w:rFonts w:ascii="Times New Roman" w:hAnsi="Times New Roman"/>
          <w:b/>
          <w:sz w:val="20"/>
          <w:u w:val="single"/>
        </w:rPr>
        <w:t>Amendments Without Consent of Holders or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with such consent not to be unreasonably withheld, conditioned or delayed) enter into one or more amendments to this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(ii)    with the consent of the person serving as Lease Representative prior to such amendment (other than in the case of a replacement pursuant to the last sentence of </w:t>
      </w:r>
      <w:r>
        <w:rPr>
          <w:rFonts w:ascii="Times New Roman" w:hAnsi="Times New Roman"/>
          <w:sz w:val="20"/>
          <w:u w:val="single"/>
        </w:rPr>
        <w:t>Section 4.6(a)</w:t>
      </w:r>
      <w:r>
        <w:rPr>
          <w:rFonts w:ascii="Times New Roman" w:hAnsi="Times New Roman"/>
          <w:sz w:val="20"/>
        </w:rPr>
        <w:t xml:space="preserve">),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w:t>
      </w:r>
      <w:r>
        <w:rPr>
          <w:rFonts w:ascii="Times New Roman" w:hAnsi="Times New Roman"/>
          <w:sz w:val="20"/>
          <w:u w:val="single"/>
        </w:rPr>
        <w:t>Section 6.1</w:t>
      </w:r>
      <w:r>
        <w:rPr>
          <w:rFonts w:ascii="Times New Roman" w:hAnsi="Times New Roman"/>
          <w:sz w:val="20"/>
        </w:rPr>
        <w:t xml:space="preserve">, to evidence the succession of another person to the Company and the assumption of any such successor of the covenants of the Company outlined herein in a transaction contemplated by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to add to the covenants of the Company such further covenants, restrictions, conditions or provisions as the Company and the Rights Agent will consider to be for the protection and benefit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(vi)    as may be necessary or appropriate to ensure that the CVRs are not subject to registration under the Securities Act or the Exchange Act and the rules and regulations promulgated thereunder, or any applicable state securities or blue sky laws; </w:t>
      </w:r>
    </w:p>
    <w:p>
      <w:pPr>
        <w:pStyle w:val="TextBody"/>
        <w:bidi w:val="0"/>
        <w:spacing w:before="120" w:after="0"/>
        <w:jc w:val="left"/>
        <w:rPr>
          <w:rFonts w:ascii="Times New Roman" w:hAnsi="Times New Roman"/>
          <w:sz w:val="20"/>
        </w:rPr>
      </w:pPr>
      <w:r>
        <w:rPr>
          <w:rFonts w:ascii="Times New Roman" w:hAnsi="Times New Roman"/>
          <w:sz w:val="20"/>
        </w:rPr>
        <w:t xml:space="preserve">(vii)    as may be necessary or appropriate to ensure that the Company is not required to produce a prospectus or an admission document in order to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(viii)    to cancel the CVRs (i) in the event that any Holder has abandoned its rights in accordance with </w:t>
      </w:r>
      <w:r>
        <w:rPr>
          <w:rFonts w:ascii="Times New Roman" w:hAnsi="Times New Roman"/>
          <w:sz w:val="20"/>
          <w:u w:val="single"/>
        </w:rPr>
        <w:t>Section 2.6</w:t>
      </w:r>
      <w:r>
        <w:rPr>
          <w:rFonts w:ascii="Times New Roman" w:hAnsi="Times New Roman"/>
          <w:sz w:val="20"/>
        </w:rPr>
        <w:t xml:space="preserve"> or (ii) following a transfer of such CVRs to the Company or its Affiliates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as may be necessary or appropriate to ensure that the Company complies with applicable Law;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to effect any other amendment to this Agreement for the purpose of adding, eliminating or changing any provisions of this Agreements; </w:t>
      </w:r>
      <w:r>
        <w:rPr>
          <w:rFonts w:ascii="Times New Roman" w:hAnsi="Times New Roman"/>
          <w:i/>
          <w:sz w:val="20"/>
        </w:rPr>
        <w:t>provided</w:t>
      </w:r>
      <w:r>
        <w:rPr>
          <w:rFonts w:ascii="Times New Roman" w:hAnsi="Times New Roman"/>
          <w:sz w:val="20"/>
        </w:rPr>
        <w:t xml:space="preserve">, that, in each case, such additions, eliminations or changes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pursuant to </w:t>
      </w:r>
      <w:r>
        <w:rPr>
          <w:rFonts w:ascii="Times New Roman" w:hAnsi="Times New Roman"/>
          <w:sz w:val="20"/>
          <w:u w:val="single"/>
        </w:rPr>
        <w:t>Section 5.1</w:t>
      </w:r>
      <w:r>
        <w:rPr>
          <w:rFonts w:ascii="Times New Roman" w:hAnsi="Times New Roman"/>
          <w:sz w:val="20"/>
        </w:rPr>
        <w:t xml:space="preserve">, with the consent of the Acting Holders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w:t>
      </w:r>
      <w:r>
        <w:rPr>
          <w:rFonts w:ascii="Times New Roman" w:hAnsi="Times New Roman"/>
          <w:b/>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Article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In addition, no supplement or amendment to this Agreement that affects the rights or obligations of the Lease Representative shall be effective unless duly executed by the Lease Representative.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w:t>
      </w:r>
      <w:r>
        <w:rPr>
          <w:rFonts w:ascii="Times New Roman" w:hAnsi="Times New Roman"/>
          <w:b/>
          <w:sz w:val="20"/>
          <w:u w:val="single"/>
        </w:rPr>
        <w:t>The Company May Not Consolidate, Etc</w:t>
      </w:r>
      <w:r>
        <w:rPr>
          <w:rFonts w:ascii="Times New Roman" w:hAnsi="Times New Roman"/>
          <w:sz w:val="20"/>
        </w:rPr>
        <w:t xml:space="preserve">. During the CVR Term, the Company shall not consolidate with or merge into any other Person or convey, transfer or lease its properties and assets substantially as an entirety to any Person, unless: </w:t>
      </w:r>
    </w:p>
    <w:p>
      <w:pPr>
        <w:pStyle w:val="TextBody"/>
        <w:bidi w:val="0"/>
        <w:spacing w:before="120" w:after="0"/>
        <w:jc w:val="left"/>
        <w:rPr>
          <w:rFonts w:ascii="Times New Roman" w:hAnsi="Times New Roman"/>
          <w:sz w:val="20"/>
        </w:rPr>
      </w:pPr>
      <w:r>
        <w:rPr>
          <w:rFonts w:ascii="Times New Roman" w:hAnsi="Times New Roman"/>
          <w:sz w:val="20"/>
        </w:rPr>
        <w:t>(a)    the Person formed by such consolidation or into which the Company is merged or the Person that acquires by conveyance or transfer, or that leases, the properties and assets of the Company substantially as an entirety (the </w:t>
      </w:r>
      <w:r>
        <w:rPr>
          <w:rFonts w:ascii="Times New Roman" w:hAnsi="Times New Roman"/>
          <w:b/>
          <w:sz w:val="20"/>
        </w:rPr>
        <w:t>Surviving Person</w:t>
      </w:r>
      <w:r>
        <w:rPr>
          <w:rFonts w:ascii="Times New Roman" w:hAnsi="Times New Roman"/>
          <w:sz w:val="20"/>
        </w:rPr>
        <w:t xml:space="preserve">) shall expressly assume payment of amounts on all CVRs (when and as due hereunder) and the performance of every duty and covenant of this Agreement on the part of the Company to be performed or observed;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has delivered to the Rights Agent an Officers Certificate, stating that such consolidation, merger, conveyance, transfer or lease complies with this </w:t>
      </w:r>
      <w:r>
        <w:rPr>
          <w:rFonts w:ascii="Times New Roman" w:hAnsi="Times New Roman"/>
          <w:sz w:val="20"/>
          <w:u w:val="single"/>
        </w:rPr>
        <w:t>Article 6</w:t>
      </w:r>
      <w:r>
        <w:rPr>
          <w:rFonts w:ascii="Times New Roman" w:hAnsi="Times New Roman"/>
          <w:sz w:val="20"/>
        </w:rPr>
        <w:t xml:space="preserve"> and that all conditions precedent herein provided for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w:t>
      </w:r>
      <w:r>
        <w:rPr>
          <w:rFonts w:ascii="Times New Roman" w:hAnsi="Times New Roman"/>
          <w:b/>
          <w:sz w:val="20"/>
          <w:u w:val="single"/>
        </w:rPr>
        <w:t>Successor Substituted</w:t>
      </w:r>
      <w:r>
        <w:rPr>
          <w:rFonts w:ascii="Times New Roman" w:hAnsi="Times New Roman"/>
          <w:sz w:val="20"/>
        </w:rPr>
        <w:t xml:space="preserve">. Upon any consolidation of or merger by the Company with or into any other Person, or any conveyance, transfer or lease of the properties and assets substantially as an entirety to any Person in accordance with </w:t>
      </w:r>
      <w:r>
        <w:rPr>
          <w:rFonts w:ascii="Times New Roman" w:hAnsi="Times New Roman"/>
          <w:sz w:val="20"/>
          <w:u w:val="single"/>
        </w:rPr>
        <w:t>Section 6.1</w:t>
      </w:r>
      <w:r>
        <w:rPr>
          <w:rFonts w:ascii="Times New Roman" w:hAnsi="Times New Roman"/>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w:t>
      </w:r>
      <w:r>
        <w:rPr>
          <w:rFonts w:ascii="Times New Roman" w:hAnsi="Times New Roman"/>
          <w:b/>
          <w:sz w:val="20"/>
          <w:u w:val="single"/>
        </w:rPr>
        <w:t>Notices to Rights Agent and to the Company</w:t>
      </w:r>
      <w:r>
        <w:rPr>
          <w:rFonts w:ascii="Times New Roman" w:hAnsi="Times New Roman"/>
          <w:sz w:val="20"/>
        </w:rPr>
        <w:t>. All notices, requests and other communications (each, a </w:t>
      </w:r>
      <w:r>
        <w:rPr>
          <w:rFonts w:ascii="Times New Roman" w:hAnsi="Times New Roman"/>
          <w:b/>
          <w:sz w:val="20"/>
        </w:rPr>
        <w:t>Notice</w:t>
      </w:r>
      <w:r>
        <w:rPr>
          <w:rFonts w:ascii="Times New Roman" w:hAnsi="Times New Roman"/>
          <w:sz w:val="20"/>
        </w:rPr>
        <w:t xml:space="preserve">) to any Party hereunder shall be in writing and shall be deemed to have been duly delivered and received hereunder (a) one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120" w:after="0"/>
        <w:jc w:val="left"/>
        <w:rPr>
          <w:rFonts w:ascii="Times New Roman" w:hAnsi="Times New Roman"/>
          <w:sz w:val="20"/>
        </w:rPr>
      </w:pPr>
      <w:r>
        <w:rPr>
          <w:rFonts w:ascii="Times New Roman" w:hAnsi="Times New Roman"/>
          <w:sz w:val="20"/>
        </w:rPr>
        <w:t xml:space="preserve">Equiniti Trust Company, LLC </w:t>
      </w:r>
    </w:p>
    <w:p>
      <w:pPr>
        <w:pStyle w:val="TextBody"/>
        <w:bidi w:val="0"/>
        <w:spacing w:before="0" w:after="0"/>
        <w:jc w:val="left"/>
        <w:rPr>
          <w:rFonts w:ascii="Times New Roman" w:hAnsi="Times New Roman"/>
          <w:sz w:val="20"/>
        </w:rPr>
      </w:pPr>
      <w:r>
        <w:rPr>
          <w:rFonts w:ascii="Times New Roman" w:hAnsi="Times New Roman"/>
          <w:sz w:val="20"/>
        </w:rPr>
        <w:t xml:space="preserve">48 Wall Street, 22nd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10005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Actions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Equiniti Trust Company, LLC </w:t>
      </w:r>
    </w:p>
    <w:p>
      <w:pPr>
        <w:pStyle w:val="TextBody"/>
        <w:bidi w:val="0"/>
        <w:spacing w:before="0" w:after="0"/>
        <w:jc w:val="left"/>
        <w:rPr>
          <w:rFonts w:ascii="Times New Roman" w:hAnsi="Times New Roman"/>
          <w:sz w:val="20"/>
        </w:rPr>
      </w:pPr>
      <w:r>
        <w:rPr>
          <w:rFonts w:ascii="Times New Roman" w:hAnsi="Times New Roman"/>
          <w:sz w:val="20"/>
        </w:rPr>
        <w:t xml:space="preserve">48 Wall Street, 22nd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10005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LegalTeamUS@equiniti.com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Neurogene Inc. </w:t>
      </w:r>
    </w:p>
    <w:p>
      <w:pPr>
        <w:pStyle w:val="TextBody"/>
        <w:bidi w:val="0"/>
        <w:spacing w:before="0" w:after="0"/>
        <w:jc w:val="left"/>
        <w:rPr>
          <w:rFonts w:ascii="Times New Roman" w:hAnsi="Times New Roman"/>
          <w:sz w:val="20"/>
        </w:rPr>
      </w:pPr>
      <w:r>
        <w:rPr>
          <w:rFonts w:ascii="Times New Roman" w:hAnsi="Times New Roman"/>
          <w:sz w:val="20"/>
        </w:rPr>
        <w:t xml:space="preserve">535 W 24th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10011 </w:t>
      </w:r>
    </w:p>
    <w:p>
      <w:pPr>
        <w:pStyle w:val="TextBody"/>
        <w:bidi w:val="0"/>
        <w:spacing w:before="0" w:after="0"/>
        <w:jc w:val="left"/>
        <w:rPr>
          <w:rFonts w:ascii="Times New Roman" w:hAnsi="Times New Roman"/>
          <w:sz w:val="20"/>
        </w:rPr>
      </w:pPr>
      <w:r>
        <w:rPr>
          <w:rFonts w:ascii="Times New Roman" w:hAnsi="Times New Roman"/>
          <w:sz w:val="20"/>
        </w:rPr>
        <w:t xml:space="preserve">Attention: Christine Mikail, J.D.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555 Mission Street, Suite 3000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w:t>
      </w:r>
    </w:p>
    <w:p>
      <w:pPr>
        <w:pStyle w:val="TextBody"/>
        <w:bidi w:val="0"/>
        <w:spacing w:before="0" w:after="0"/>
        <w:jc w:val="left"/>
        <w:rPr>
          <w:rFonts w:ascii="Times New Roman" w:hAnsi="Times New Roman"/>
          <w:sz w:val="20"/>
        </w:rPr>
      </w:pPr>
      <w:r>
        <w:rPr>
          <w:rFonts w:ascii="Times New Roman" w:hAnsi="Times New Roman"/>
          <w:sz w:val="20"/>
        </w:rPr>
        <w:t xml:space="preserve">Email: rmurr@gibsondunn.com, bberns@gibsondunn.com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address as such Party may hereafter specify for the purpose by notice to the other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w:t>
      </w:r>
      <w:r>
        <w:rPr>
          <w:rFonts w:ascii="Times New Roman" w:hAnsi="Times New Roman"/>
          <w:b/>
          <w:sz w:val="20"/>
          <w:u w:val="single"/>
        </w:rPr>
        <w:t>Notice to Holders</w:t>
      </w:r>
      <w:r>
        <w:rPr>
          <w:rFonts w:ascii="Times New Roman" w:hAnsi="Times New Roman"/>
          <w:sz w:val="20"/>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w:t>
      </w:r>
      <w:r>
        <w:rPr>
          <w:rFonts w:ascii="Times New Roman" w:hAnsi="Times New Roman"/>
          <w:b/>
          <w:sz w:val="20"/>
          <w:u w:val="single"/>
        </w:rPr>
        <w:t>Entire Agreement</w:t>
      </w:r>
      <w:r>
        <w:rPr>
          <w:rFonts w:ascii="Times New Roman" w:hAnsi="Times New Roman"/>
          <w:sz w:val="20"/>
        </w:rPr>
        <w:t xml:space="preserve">.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7.4</w:t>
      </w:r>
      <w:r>
        <w:rPr>
          <w:rFonts w:ascii="Times New Roman" w:hAnsi="Times New Roman"/>
          <w:sz w:val="20"/>
        </w:rPr>
        <w:t>    </w:t>
      </w:r>
      <w:r>
        <w:rPr>
          <w:rFonts w:ascii="Times New Roman" w:hAnsi="Times New Roman"/>
          <w:b/>
          <w:sz w:val="20"/>
          <w:u w:val="single"/>
        </w:rPr>
        <w:t>Merger or Consolidation or Change of Name of Rights Agent</w:t>
      </w:r>
      <w:r>
        <w:rPr>
          <w:rFonts w:ascii="Times New Roman" w:hAnsi="Times New Roman"/>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 w:hAnsi="Times New Roman"/>
          <w:i/>
          <w:sz w:val="20"/>
        </w:rPr>
        <w:t>provided</w:t>
      </w:r>
      <w:r>
        <w:rPr>
          <w:rFonts w:ascii="Times New Roman" w:hAnsi="Times New Roman"/>
          <w:sz w:val="20"/>
        </w:rPr>
        <w:t xml:space="preserve">,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7.4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7.5</w:t>
      </w:r>
      <w:r>
        <w:rPr>
          <w:rFonts w:ascii="Times New Roman" w:hAnsi="Times New Roman"/>
          <w:sz w:val="20"/>
        </w:rPr>
        <w:t>    </w:t>
      </w:r>
      <w:r>
        <w:rPr>
          <w:rFonts w:ascii="Times New Roman" w:hAnsi="Times New Roman"/>
          <w:b/>
          <w:sz w:val="20"/>
          <w:u w:val="single"/>
        </w:rPr>
        <w:t>Successors and Assigns</w:t>
      </w:r>
      <w:r>
        <w:rPr>
          <w:rFonts w:ascii="Times New Roman" w:hAnsi="Times New Roman"/>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7.4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hAnsi="Times New Roman"/>
          <w:sz w:val="20"/>
          <w:u w:val="single"/>
        </w:rPr>
        <w:t>Section 7.5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7.6</w:t>
      </w:r>
      <w:r>
        <w:rPr>
          <w:rFonts w:ascii="Times New Roman" w:hAnsi="Times New Roman"/>
          <w:sz w:val="20"/>
        </w:rPr>
        <w:t>    </w:t>
      </w:r>
      <w:r>
        <w:rPr>
          <w:rFonts w:ascii="Times New Roman" w:hAnsi="Times New Roman"/>
          <w:b/>
          <w:sz w:val="20"/>
          <w:u w:val="single"/>
        </w:rPr>
        <w:t>Benefits of Agreement; Action by Acting Holders</w:t>
      </w:r>
      <w:r>
        <w:rPr>
          <w:rFonts w:ascii="Times New Roman" w:hAnsi="Times New Roman"/>
          <w:sz w:val="20"/>
        </w:rPr>
        <w:t xml:space="preserve">.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7.7</w:t>
      </w:r>
      <w:r>
        <w:rPr>
          <w:rFonts w:ascii="Times New Roman" w:hAnsi="Times New Roman"/>
          <w:sz w:val="20"/>
        </w:rPr>
        <w:t>    </w:t>
      </w:r>
      <w:r>
        <w:rPr>
          <w:rFonts w:ascii="Times New Roman" w:hAnsi="Times New Roman"/>
          <w:b/>
          <w:sz w:val="20"/>
          <w:u w:val="single"/>
        </w:rPr>
        <w:t>Governing Law</w:t>
      </w:r>
      <w:r>
        <w:rPr>
          <w:rFonts w:ascii="Times New Roman" w:hAnsi="Times New Roman"/>
          <w:sz w:val="20"/>
        </w:rPr>
        <w:t xml:space="preserve">. This Agreement and the CVRs will be governed by, and construed in accordance with, the laws of the State of Delaware without regard to the conflicts of law rules of such state.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7.8</w:t>
      </w:r>
      <w:r>
        <w:rPr>
          <w:rFonts w:ascii="Times New Roman" w:hAnsi="Times New Roman"/>
          <w:sz w:val="20"/>
        </w:rPr>
        <w:t>    </w:t>
      </w:r>
      <w:r>
        <w:rPr>
          <w:rFonts w:ascii="Times New Roman" w:hAnsi="Times New Roman"/>
          <w:b/>
          <w:sz w:val="20"/>
          <w:u w:val="single"/>
        </w:rPr>
        <w:t>Jurisdiction</w:t>
      </w:r>
      <w:r>
        <w:rPr>
          <w:rFonts w:ascii="Times New Roman" w:hAnsi="Times New Roman"/>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7.8</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of this Agreement. </w:t>
      </w:r>
    </w:p>
    <w:p>
      <w:pPr>
        <w:pStyle w:val="TextBody"/>
        <w:bidi w:val="0"/>
        <w:spacing w:before="240" w:after="0"/>
        <w:jc w:val="left"/>
        <w:rPr>
          <w:rFonts w:ascii="Times New Roman" w:hAnsi="Times New Roman"/>
          <w:b/>
          <w:sz w:val="20"/>
        </w:rPr>
      </w:pPr>
      <w:r>
        <w:rPr>
          <w:rFonts w:ascii="Times New Roman" w:hAnsi="Times New Roman"/>
          <w:b/>
          <w:sz w:val="20"/>
        </w:rPr>
        <w:t>Section 7.9    </w:t>
      </w:r>
      <w:r>
        <w:rPr>
          <w:rFonts w:ascii="Times New Roman" w:hAnsi="Times New Roman"/>
          <w:b/>
          <w:sz w:val="20"/>
          <w:u w:val="single"/>
        </w:rPr>
        <w:t>WAIVER OF JURY TRIAL</w:t>
      </w:r>
      <w:r>
        <w:rPr>
          <w:rFonts w:ascii="Times New Roman" w:hAnsi="Times New Roman"/>
          <w:b/>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7.9</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7.10</w:t>
      </w:r>
      <w:r>
        <w:rPr>
          <w:rFonts w:ascii="Times New Roman" w:hAnsi="Times New Roman"/>
          <w:sz w:val="20"/>
        </w:rPr>
        <w:t>    </w:t>
      </w:r>
      <w:r>
        <w:rPr>
          <w:rFonts w:ascii="Times New Roman" w:hAnsi="Times New Roman"/>
          <w:b/>
          <w:sz w:val="20"/>
          <w:u w:val="single"/>
        </w:rPr>
        <w:t>Severability Clause</w:t>
      </w:r>
      <w:r>
        <w:rPr>
          <w:rFonts w:ascii="Times New Roman" w:hAnsi="Times New Roman"/>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7.11</w:t>
      </w:r>
      <w:r>
        <w:rPr>
          <w:rFonts w:ascii="Times New Roman" w:hAnsi="Times New Roman"/>
          <w:sz w:val="20"/>
        </w:rPr>
        <w:t>    </w:t>
      </w:r>
      <w:r>
        <w:rPr>
          <w:rFonts w:ascii="Times New Roman" w:hAnsi="Times New Roman"/>
          <w:b/>
          <w:sz w:val="20"/>
          <w:u w:val="single"/>
        </w:rPr>
        <w:t>Counterparts; Effectiveness</w:t>
      </w:r>
      <w:r>
        <w:rPr>
          <w:rFonts w:ascii="Times New Roman" w:hAnsi="Times New Roman"/>
          <w:sz w:val="20"/>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electronic communications by portable document format (.pdf),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7.12</w:t>
      </w:r>
      <w:r>
        <w:rPr>
          <w:rFonts w:ascii="Times New Roman" w:hAnsi="Times New Roman"/>
          <w:sz w:val="20"/>
        </w:rPr>
        <w:t>    </w:t>
      </w:r>
      <w:r>
        <w:rPr>
          <w:rFonts w:ascii="Times New Roman" w:hAnsi="Times New Roman"/>
          <w:b/>
          <w:sz w:val="20"/>
          <w:u w:val="single"/>
        </w:rPr>
        <w:t>Termination</w:t>
      </w:r>
      <w:r>
        <w:rPr>
          <w:rFonts w:ascii="Times New Roman" w:hAnsi="Times New Roman"/>
          <w:sz w:val="20"/>
        </w:rPr>
        <w:t xml:space="preserve">. 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Payments under </w:t>
      </w:r>
      <w:r>
        <w:rPr>
          <w:rFonts w:ascii="Times New Roman" w:hAnsi="Times New Roman"/>
          <w:sz w:val="20"/>
          <w:u w:val="single"/>
        </w:rPr>
        <w:t>Section 2.4</w:t>
      </w:r>
      <w:r>
        <w:rPr>
          <w:rFonts w:ascii="Times New Roman" w:hAnsi="Times New Roman"/>
          <w:sz w:val="20"/>
        </w:rPr>
        <w:t xml:space="preserve"> to the extent earned prior to the termination of this Agreement, and the provisions applicable thereto will survive the expiration or termination of this Agreement until such CVR Payments have been made, if applicable.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7.13</w:t>
      </w:r>
      <w:r>
        <w:rPr>
          <w:rFonts w:ascii="Times New Roman" w:hAnsi="Times New Roman"/>
          <w:sz w:val="20"/>
        </w:rPr>
        <w:t>    </w:t>
      </w:r>
      <w:r>
        <w:rPr>
          <w:rFonts w:ascii="Times New Roman" w:hAnsi="Times New Roman"/>
          <w:b/>
          <w:sz w:val="20"/>
          <w:u w:val="single"/>
        </w:rPr>
        <w:t>Funds</w:t>
      </w:r>
      <w:r>
        <w:rPr>
          <w:rFonts w:ascii="Times New Roman" w:hAnsi="Times New Roman"/>
          <w:sz w:val="20"/>
        </w:rPr>
        <w:t>. All funds received by Rights Agent under this Agreement that are to be distributed or applied by Rights Agent in the performance of services hereunder (the </w:t>
      </w:r>
      <w:r>
        <w:rPr>
          <w:rFonts w:ascii="Times New Roman" w:hAnsi="Times New Roman"/>
          <w:b/>
          <w:sz w:val="20"/>
        </w:rPr>
        <w:t>Funds</w:t>
      </w:r>
      <w:r>
        <w:rPr>
          <w:rFonts w:ascii="Times New Roman" w:hAnsi="Times New Roman"/>
          <w:sz w:val="20"/>
        </w:rPr>
        <w:t xml:space="preserve">) shall be deposited in one or more bank accounts to be maintained by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non-appealable judgment of a court of competent jurisdiction) on its part, have no responsibility or liability for any diminution of the Funds that may result from any deposit in accordance with this paragraph, including any losses resulting from a default by any bank, financial institution or other third party.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7.14</w:t>
      </w:r>
      <w:r>
        <w:rPr>
          <w:rFonts w:ascii="Times New Roman" w:hAnsi="Times New Roman"/>
          <w:sz w:val="20"/>
        </w:rPr>
        <w:t>    </w:t>
      </w:r>
      <w:r>
        <w:rPr>
          <w:rFonts w:ascii="Times New Roman" w:hAnsi="Times New Roman"/>
          <w:b/>
          <w:sz w:val="20"/>
          <w:u w:val="single"/>
        </w:rPr>
        <w:t>Further Assurance by Company</w:t>
      </w:r>
      <w:r>
        <w:rPr>
          <w:rFonts w:ascii="Times New Roman" w:hAnsi="Times New Roman"/>
          <w:sz w:val="20"/>
        </w:rPr>
        <w:t xml:space="preserve">. 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 </w:t>
      </w:r>
    </w:p>
    <w:p>
      <w:pPr>
        <w:pStyle w:val="TextBody"/>
        <w:bidi w:val="0"/>
        <w:spacing w:before="36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7.15</w:t>
      </w:r>
      <w:r>
        <w:rPr>
          <w:rFonts w:ascii="Times New Roman" w:hAnsi="Times New Roman"/>
          <w:sz w:val="20"/>
        </w:rPr>
        <w:t>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bidi w:val="0"/>
        <w:spacing w:before="120" w:after="0"/>
        <w:jc w:val="left"/>
        <w:rPr>
          <w:rFonts w:ascii="Times New Roman" w:hAnsi="Times New Roman"/>
          <w:sz w:val="20"/>
        </w:rPr>
      </w:pPr>
      <w:r>
        <w:rPr>
          <w:rFonts w:ascii="Times New Roman" w:hAnsi="Times New Roman"/>
          <w:sz w:val="20"/>
        </w:rPr>
        <w:t xml:space="preserve">(e)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NEOLEUKIN THERAPEUTICS, INC.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pPr>
            <w:r>
              <w:rPr/>
              <w:t> </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Donna Cochener</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pPr>
            <w:r>
              <w:rPr/>
              <w:t>Interim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EQUINITI TRUST COMPANY, LLC</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pPr>
            <w:r>
              <w:rPr/>
              <w:t> </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DONNA COCHENER (solely with respect to Section 4.6)</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0"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CVR Agreement</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17100</Words>
  <Characters>88335</Characters>
  <CharactersWithSpaces>105569</CharactersWithSpaces>
  <Paragraphs>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