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2026</w:t>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Neurogene Inc.</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279"/>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0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001-36327</w:t>
            </w:r>
          </w:p>
        </w:tc>
        <w:tc>
          <w:tcPr>
            <w:tcW w:w="34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98-0542593</w:t>
            </w:r>
          </w:p>
        </w:tc>
        <w:tc>
          <w:tcPr>
            <w:tcW w:w="0" w:type="dxa"/>
            <w:vAlign w:val="bottom"/>
          </w:tcPr>
          <w:p>
            <w:pPr>
              <w:spacing w:after="0"/>
              <w:rPr>
                <w:sz w:val="1"/>
                <w:szCs w:val="1"/>
                <w:color w:val="auto"/>
              </w:rPr>
            </w:pPr>
          </w:p>
        </w:tc>
      </w:tr>
      <w:tr>
        <w:trPr>
          <w:trHeight w:val="221"/>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w:t>
            </w:r>
          </w:p>
        </w:tc>
        <w:tc>
          <w:tcPr>
            <w:tcW w:w="32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4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238"/>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3200" w:type="dxa"/>
            <w:vAlign w:val="bottom"/>
            <w:vMerge w:val="continue"/>
          </w:tcPr>
          <w:p>
            <w:pPr>
              <w:spacing w:after="0"/>
              <w:rPr>
                <w:sz w:val="20"/>
                <w:szCs w:val="20"/>
                <w:color w:val="auto"/>
              </w:rPr>
            </w:pP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535 W 24</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Street, 5</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10011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237-5020</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83" w:lineRule="exact"/>
        <w:rPr>
          <w:sz w:val="24"/>
          <w:szCs w:val="24"/>
          <w:color w:val="auto"/>
        </w:rPr>
      </w:pPr>
    </w:p>
    <w:p>
      <w:pPr>
        <w:jc w:val="center"/>
        <w:ind w:left="340" w:right="34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65"/>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8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0"/>
        </w:trPr>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$0.000001 par value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NGNE</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979"/>
        </w:trPr>
        <w:tc>
          <w:tcPr>
            <w:tcW w:w="4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5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89"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517525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2026, Neurogene Inc. (the “Company”) entered into an underwriting agreement (the “Underwriting Agreement”) with Leerink Partners LLC,</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Stifel, Nicolaus &amp; Company, Incorporated, and Guggenheim Securities, LLC, as representatives of the underwriters named therein (the “Underwriters”), to issue and sell 3,500,000 shares of the Company’s common stock at a public offering price of $30.00 per share and, in lieu of common stock to certain investors, pre-funded warrants to purchase up to 666,666 shares of the Company’s common stock (the “Pre-Funded Warrants”) at a public offering price of</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$29.999999 per Pre-Funded Warrant, which represents the per share public offering price for the common stock less the $0.000001 per share exercise price for each Pre-Funded Warrant (the “Offering”). In addition, the Company has granted the Underwriters an option (the “Option”) for a period of 30 days to purchase up to an additional 624,999 shares of its common stock at the public offering price, less the underwriting discounts and commissions, which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exercised in full on July 1, 2026.</w:t>
      </w:r>
    </w:p>
    <w:p>
      <w:pPr>
        <w:spacing w:after="0" w:line="57"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The Pre-Funded Warrants will be exercisable at any time after the date of issuance. A holder of Pre-Funded Warrants may not exercise the warrant if the holder, together with its affiliates, would beneficially own more than 4.99% or 9.99%, as applicable, of the number of shares of common stock outstanding</w:t>
      </w:r>
    </w:p>
    <w:p>
      <w:pPr>
        <w:ind w:right="40"/>
        <w:spacing w:after="0" w:line="226" w:lineRule="auto"/>
        <w:rPr>
          <w:sz w:val="20"/>
          <w:szCs w:val="20"/>
          <w:color w:val="auto"/>
        </w:rPr>
      </w:pPr>
      <w:r>
        <w:rPr>
          <w:rFonts w:ascii="Times New Roman" w:cs="Times New Roman" w:eastAsia="Times New Roman" w:hAnsi="Times New Roman"/>
          <w:sz w:val="18"/>
          <w:szCs w:val="18"/>
          <w:color w:val="auto"/>
        </w:rPr>
        <w:t>immediately after giving effect to such exercise. A holder of Pre-Funded Warrants may increase or decrease this percentage to a percentage not in excess of 19.99% by providing at least 61 days’ prior notice to the Company.</w:t>
      </w:r>
    </w:p>
    <w:p>
      <w:pPr>
        <w:spacing w:after="0" w:line="49"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The net proceeds from the Offering, including proceeds from the exercise in full of the Option by the Underwriters, are expected to be approximately $134.8 million, after deducting the Underwriters’ discounts and commissions and estimated offering expenses.</w:t>
      </w:r>
    </w:p>
    <w:p>
      <w:pPr>
        <w:spacing w:after="0" w:line="41"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The securities described above were offered pursuant to a shelf registration statement (File No. 333-286057), which became effective on April 4, 2025. A final prospectus supplement dated June 30, 2026 relating to and describing the terms of the Offering was filed with the U.S. Securities and Exchange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on July 1, 2026. The Offering is expected to close on July 2, 2026.</w:t>
      </w:r>
    </w:p>
    <w:p>
      <w:pPr>
        <w:spacing w:after="0" w:line="57"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 the Underwriting Agreement, the Company agreed to indemnify the Underwriters against certain liabilities, including liabilities under the Securities Act of 1933, as amended, or to contribute payments that the Underwriters may be required to make because of such liabilities.</w:t>
      </w:r>
    </w:p>
    <w:p>
      <w:pPr>
        <w:spacing w:after="0" w:line="64"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A copy of the Underwriting Agreement and the form of Pre-Funded Warrant are filed as Exhibit 1.1 and 4.1, respectively, and are incorporated herein by reference. The foregoing descriptions of the Underwriting Agreement and the Pre-Funded Warrants do not purport to be complete and are qualified in their entirety by reference to such exhibit.</w:t>
      </w:r>
    </w:p>
    <w:p>
      <w:pPr>
        <w:spacing w:after="0" w:line="63"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color w:val="auto"/>
        </w:rPr>
        <w:t>A copy of the opinion of Gibson, Dunn &amp; Crutcher LLP relating to the validity of the issuance and sale of the shares of the common stock and the Pre-Funded Warrants in the Offering is filed herewith as Exhibit 5.1.</w:t>
      </w:r>
    </w:p>
    <w:p>
      <w:pPr>
        <w:spacing w:after="0" w:line="23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02" w:lineRule="exact"/>
        <w:rPr>
          <w:sz w:val="20"/>
          <w:szCs w:val="20"/>
          <w:color w:val="auto"/>
        </w:rPr>
      </w:pPr>
    </w:p>
    <w:p>
      <w:pPr>
        <w:ind w:right="680"/>
        <w:spacing w:after="0" w:line="237" w:lineRule="auto"/>
        <w:rPr>
          <w:sz w:val="20"/>
          <w:szCs w:val="20"/>
          <w:color w:val="auto"/>
        </w:rPr>
      </w:pPr>
      <w:r>
        <w:rPr>
          <w:rFonts w:ascii="Times New Roman" w:cs="Times New Roman" w:eastAsia="Times New Roman" w:hAnsi="Times New Roman"/>
          <w:sz w:val="18"/>
          <w:szCs w:val="18"/>
          <w:color w:val="auto"/>
        </w:rPr>
        <w:t>The Company believes that the net proceeds from the Offering, together with its existing cash and cash equivalents, will be sufficient to enable the Company to fund its operating expenses and capital expenditure requirements into the first quarter of 2029.</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Item 9.01</w:t>
            </w:r>
          </w:p>
        </w:tc>
        <w:tc>
          <w:tcPr>
            <w:tcW w:w="1016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5"/>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7"/>
        </w:trPr>
        <w:tc>
          <w:tcPr>
            <w:tcW w:w="6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4"/>
        </w:trPr>
        <w:tc>
          <w:tcPr>
            <w:tcW w:w="6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91"/>
        </w:trPr>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Underwriting Agreement, dated as of June 30, 2026, by and among Neurogene Inc. and Leerink Partners LLC, Stifel,</w:t>
            </w:r>
          </w:p>
        </w:tc>
      </w:tr>
      <w:tr>
        <w:trPr>
          <w:trHeight w:val="169"/>
        </w:trPr>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auto"/>
              <w:bottom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w w:val="99"/>
              </w:rPr>
              <w:t>Nicolaus &amp; Company, Incorporated and Guggenheim Securities, LLC</w:t>
            </w:r>
          </w:p>
        </w:tc>
        <w:tc>
          <w:tcPr>
            <w:tcW w:w="3400" w:type="dxa"/>
            <w:vAlign w:val="bottom"/>
            <w:tcBorders>
              <w:top w:val="single" w:sz="8" w:color="auto"/>
            </w:tcBorders>
          </w:tcPr>
          <w:p>
            <w:pPr>
              <w:spacing w:after="0"/>
              <w:rPr>
                <w:sz w:val="14"/>
                <w:szCs w:val="14"/>
                <w:color w:val="auto"/>
              </w:rPr>
            </w:pPr>
          </w:p>
        </w:tc>
        <w:tc>
          <w:tcPr>
            <w:tcW w:w="1160" w:type="dxa"/>
            <w:vAlign w:val="bottom"/>
            <w:gridSpan w:val="2"/>
          </w:tcPr>
          <w:p>
            <w:pPr>
              <w:spacing w:after="0"/>
              <w:rPr>
                <w:sz w:val="14"/>
                <w:szCs w:val="14"/>
                <w:color w:val="auto"/>
              </w:rPr>
            </w:pPr>
          </w:p>
        </w:tc>
      </w:tr>
      <w:tr>
        <w:trPr>
          <w:trHeight w:val="210"/>
        </w:trPr>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Pre-Funded Warrant</w:t>
            </w: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r>
      <w:tr>
        <w:trPr>
          <w:trHeight w:val="210"/>
        </w:trPr>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Opinion of Gibson, Dunn &amp; Crutcher LLP</w:t>
            </w:r>
          </w:p>
        </w:tc>
        <w:tc>
          <w:tcPr>
            <w:tcW w:w="6540" w:type="dxa"/>
            <w:vAlign w:val="bottom"/>
            <w:gridSpan w:val="4"/>
          </w:tcPr>
          <w:p>
            <w:pPr>
              <w:spacing w:after="0"/>
              <w:rPr>
                <w:sz w:val="18"/>
                <w:szCs w:val="18"/>
                <w:color w:val="auto"/>
              </w:rPr>
            </w:pPr>
          </w:p>
        </w:tc>
      </w:tr>
      <w:tr>
        <w:trPr>
          <w:trHeight w:val="250"/>
        </w:trPr>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24" w:lineRule="exact"/>
        <w:rPr>
          <w:sz w:val="20"/>
          <w:szCs w:val="20"/>
          <w:color w:val="auto"/>
        </w:rPr>
      </w:pPr>
    </w:p>
    <w:p>
      <w:pPr>
        <w:ind w:right="20"/>
        <w:spacing w:after="0" w:line="3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2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NEUROGENE INC.</w:t>
            </w:r>
          </w:p>
        </w:tc>
      </w:tr>
      <w:tr>
        <w:trPr>
          <w:trHeight w:val="33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32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Christine Mikail</w:t>
            </w:r>
          </w:p>
        </w:tc>
      </w:tr>
      <w:tr>
        <w:trPr>
          <w:trHeight w:val="218"/>
        </w:trPr>
        <w:tc>
          <w:tcPr>
            <w:tcW w:w="37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Christine Mikail</w:t>
            </w:r>
          </w:p>
        </w:tc>
      </w:tr>
      <w:tr>
        <w:trPr>
          <w:trHeight w:val="234"/>
        </w:trPr>
        <w:tc>
          <w:tcPr>
            <w:tcW w:w="3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Chief Financial Officer</w:t>
            </w:r>
          </w:p>
        </w:tc>
      </w:tr>
    </w:tbl>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color w:val="auto"/>
        </w:rPr>
        <w:t>NEUROGENE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3,500,000 Shares of Common Stock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Pre-Funded Warrants to purchase up to 666,666 shares of Common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UNDERWRITING AGREEMENT</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June 30,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Leerink Partners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Stifel, Nicolaus &amp; Company, Incorporated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Guggenheim Securities,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Representatives of the several Underwriters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Leerink Partners LLC</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1301 Avenue of the Americas, 5th Floor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Stifel, Nicolaus &amp; Company, Incorporated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787 7th Avenue, 11th Floor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Guggenheim Securities,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330 Madison Avenue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Neurogene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confirms its agreement with Leerink Partners LLC (“</w:t>
      </w:r>
      <w:r>
        <w:rPr>
          <w:rFonts w:ascii="Times New Roman" w:cs="Times New Roman" w:eastAsia="Times New Roman" w:hAnsi="Times New Roman"/>
          <w:sz w:val="20"/>
          <w:szCs w:val="20"/>
          <w:u w:val="single" w:color="auto"/>
          <w:color w:val="auto"/>
        </w:rPr>
        <w:t>Leerink Partners</w:t>
      </w:r>
      <w:r>
        <w:rPr>
          <w:rFonts w:ascii="Times New Roman" w:cs="Times New Roman" w:eastAsia="Times New Roman" w:hAnsi="Times New Roman"/>
          <w:sz w:val="20"/>
          <w:szCs w:val="20"/>
          <w:color w:val="auto"/>
        </w:rPr>
        <w:t>”), Stifel, Nicolaus &amp; Company, Incorporated (“</w:t>
      </w:r>
      <w:r>
        <w:rPr>
          <w:rFonts w:ascii="Times New Roman" w:cs="Times New Roman" w:eastAsia="Times New Roman" w:hAnsi="Times New Roman"/>
          <w:sz w:val="20"/>
          <w:szCs w:val="20"/>
          <w:u w:val="single" w:color="auto"/>
          <w:color w:val="auto"/>
        </w:rPr>
        <w:t>Stifel</w:t>
      </w:r>
      <w:r>
        <w:rPr>
          <w:rFonts w:ascii="Times New Roman" w:cs="Times New Roman" w:eastAsia="Times New Roman" w:hAnsi="Times New Roman"/>
          <w:sz w:val="20"/>
          <w:szCs w:val="20"/>
          <w:color w:val="auto"/>
        </w:rPr>
        <w:t>”), Guggenheim Securities, LLC (“</w:t>
      </w:r>
      <w:r>
        <w:rPr>
          <w:rFonts w:ascii="Times New Roman" w:cs="Times New Roman" w:eastAsia="Times New Roman" w:hAnsi="Times New Roman"/>
          <w:sz w:val="20"/>
          <w:szCs w:val="20"/>
          <w:u w:val="single" w:color="auto"/>
          <w:color w:val="auto"/>
        </w:rPr>
        <w:t>Guggenheim Securities</w:t>
      </w:r>
      <w:r>
        <w:rPr>
          <w:rFonts w:ascii="Times New Roman" w:cs="Times New Roman" w:eastAsia="Times New Roman" w:hAnsi="Times New Roman"/>
          <w:sz w:val="20"/>
          <w:szCs w:val="20"/>
          <w:color w:val="auto"/>
        </w:rPr>
        <w:t xml:space="preserve">”) and each of the other Underwriters named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(collectively, the “</w:t>
      </w:r>
      <w:r>
        <w:rPr>
          <w:rFonts w:ascii="Times New Roman" w:cs="Times New Roman" w:eastAsia="Times New Roman" w:hAnsi="Times New Roman"/>
          <w:sz w:val="20"/>
          <w:szCs w:val="20"/>
          <w:u w:val="single" w:color="auto"/>
          <w:color w:val="auto"/>
        </w:rPr>
        <w:t>Underwriters</w:t>
      </w:r>
      <w:r>
        <w:rPr>
          <w:rFonts w:ascii="Times New Roman" w:cs="Times New Roman" w:eastAsia="Times New Roman" w:hAnsi="Times New Roman"/>
          <w:sz w:val="20"/>
          <w:szCs w:val="20"/>
          <w:color w:val="auto"/>
        </w:rPr>
        <w:t xml:space="preserve">,” which term shall also include any underwriter substituted as hereinafter provided in Section 10 hereof), for which Leerink Partners, Stifel and Guggenheim </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xml:space="preserve"> are acting as representatives (in such capacity, the “</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with respect to (i) the sale by the Company and the purchase by the Underwriters, acting severally and not jointly, of the respective numbers of shares of common stock, par value $0.000001 per share, of the Company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xml:space="preserve">”)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u w:val="single" w:color="auto"/>
          <w:color w:val="auto"/>
        </w:rPr>
        <w:t>Initial Shares</w:t>
      </w:r>
      <w:r>
        <w:rPr>
          <w:rFonts w:ascii="Times New Roman" w:cs="Times New Roman" w:eastAsia="Times New Roman" w:hAnsi="Times New Roman"/>
          <w:sz w:val="20"/>
          <w:szCs w:val="20"/>
          <w:color w:val="auto"/>
        </w:rPr>
        <w:t>”), (ii) the sale by the Company and the purchase by the Underwriters of pre-funded warrants, in a form to be mutually agreed upon by the Company and the Representatives (the “</w:t>
      </w:r>
      <w:r>
        <w:rPr>
          <w:rFonts w:ascii="Times New Roman" w:cs="Times New Roman" w:eastAsia="Times New Roman" w:hAnsi="Times New Roman"/>
          <w:sz w:val="20"/>
          <w:szCs w:val="20"/>
          <w:u w:val="single" w:color="auto"/>
          <w:color w:val="auto"/>
        </w:rPr>
        <w:t>Pre-Funded Warrants</w:t>
      </w:r>
      <w:r>
        <w:rPr>
          <w:rFonts w:ascii="Times New Roman" w:cs="Times New Roman" w:eastAsia="Times New Roman" w:hAnsi="Times New Roman"/>
          <w:sz w:val="20"/>
          <w:szCs w:val="20"/>
          <w:color w:val="auto"/>
        </w:rPr>
        <w:t>”), each exercisable for one share of Common Stock at an exercise price of $0.000001 per share (the “</w:t>
      </w:r>
      <w:r>
        <w:rPr>
          <w:rFonts w:ascii="Times New Roman" w:cs="Times New Roman" w:eastAsia="Times New Roman" w:hAnsi="Times New Roman"/>
          <w:sz w:val="20"/>
          <w:szCs w:val="20"/>
          <w:u w:val="single" w:color="auto"/>
          <w:color w:val="auto"/>
        </w:rPr>
        <w:t>Warrant Shares</w:t>
      </w:r>
      <w:r>
        <w:rPr>
          <w:rFonts w:ascii="Times New Roman" w:cs="Times New Roman" w:eastAsia="Times New Roman" w:hAnsi="Times New Roman"/>
          <w:sz w:val="20"/>
          <w:szCs w:val="20"/>
          <w:color w:val="auto"/>
        </w:rPr>
        <w:t>”) and (iii) the grant by the Company to the Underwriters, acting severally and not jointly, of the option described in Section 2(b) hereof to purchase all or any part of 624,999 additional shares of Common Stock. The aforesaid 3,500,000 Initial Shares and Pre-Funded Warrants to purchase up to 666,666 shares of Common Stock (the “</w:t>
      </w:r>
      <w:r>
        <w:rPr>
          <w:rFonts w:ascii="Times New Roman" w:cs="Times New Roman" w:eastAsia="Times New Roman" w:hAnsi="Times New Roman"/>
          <w:sz w:val="20"/>
          <w:szCs w:val="20"/>
          <w:u w:val="single" w:color="auto"/>
          <w:color w:val="auto"/>
        </w:rPr>
        <w:t>Initial Securities</w:t>
      </w:r>
      <w:r>
        <w:rPr>
          <w:rFonts w:ascii="Times New Roman" w:cs="Times New Roman" w:eastAsia="Times New Roman" w:hAnsi="Times New Roman"/>
          <w:sz w:val="20"/>
          <w:szCs w:val="20"/>
          <w:color w:val="auto"/>
        </w:rPr>
        <w:t>”) to be</w:t>
      </w:r>
    </w:p>
    <w:p>
      <w:pPr>
        <w:sectPr>
          <w:pgSz w:w="11900" w:h="16838" w:orient="portrait"/>
          <w:cols w:equalWidth="0" w:num="1">
            <w:col w:w="11240"/>
          </w:cols>
          <w:pgMar w:left="320" w:top="1413"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20"/>
          <w:szCs w:val="20"/>
          <w:color w:val="auto"/>
        </w:rPr>
        <w:t>purchased by the Underwriters and all or any part of the 624,999 shares of Common Stock subject to the option described in Section 2(b) hereof (the “</w:t>
      </w:r>
      <w:r>
        <w:rPr>
          <w:rFonts w:ascii="Times New Roman" w:cs="Times New Roman" w:eastAsia="Times New Roman" w:hAnsi="Times New Roman"/>
          <w:sz w:val="20"/>
          <w:szCs w:val="20"/>
          <w:u w:val="single" w:color="auto"/>
          <w:color w:val="auto"/>
        </w:rPr>
        <w:t>Option Securities</w:t>
      </w:r>
      <w:r>
        <w:rPr>
          <w:rFonts w:ascii="Times New Roman" w:cs="Times New Roman" w:eastAsia="Times New Roman" w:hAnsi="Times New Roman"/>
          <w:sz w:val="20"/>
          <w:szCs w:val="20"/>
          <w:color w:val="auto"/>
        </w:rPr>
        <w:t>” and together with the Initial Shares,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herein called, collectively, the “</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References in this Agreement to the “Representatives” shall, where there is only one Representative, be deemed to refer to such Representative in the singular, mutatis mutandis.</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understands that the Underwriters propose to make a public offering of the Securities as soon as the Representatives deem advisable after this Underwriting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been executed and delivered.</w:t>
      </w:r>
    </w:p>
    <w:p>
      <w:pPr>
        <w:spacing w:after="0" w:line="16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The Company has filed with the Securities and Exchange Commission (the “</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a shelf registration statement on Form S-3 (No. 333-286057), covering the public offering and sale of certain securities, including the Securities, under the Securities Act of 1933, as amended (the “</w:t>
      </w:r>
      <w:r>
        <w:rPr>
          <w:rFonts w:ascii="Times New Roman" w:cs="Times New Roman" w:eastAsia="Times New Roman" w:hAnsi="Times New Roman"/>
          <w:sz w:val="20"/>
          <w:szCs w:val="20"/>
          <w:u w:val="single" w:color="auto"/>
          <w:color w:val="auto"/>
        </w:rPr>
        <w:t>1933 Act</w:t>
      </w:r>
      <w:r>
        <w:rPr>
          <w:rFonts w:ascii="Times New Roman" w:cs="Times New Roman" w:eastAsia="Times New Roman" w:hAnsi="Times New Roman"/>
          <w:sz w:val="20"/>
          <w:szCs w:val="20"/>
          <w:color w:val="auto"/>
        </w:rPr>
        <w:t>”) and the rules and regulations of the Commission promulgated thereunder (the “</w:t>
      </w:r>
      <w:r>
        <w:rPr>
          <w:rFonts w:ascii="Times New Roman" w:cs="Times New Roman" w:eastAsia="Times New Roman" w:hAnsi="Times New Roman"/>
          <w:sz w:val="20"/>
          <w:szCs w:val="20"/>
          <w:u w:val="single" w:color="auto"/>
          <w:color w:val="auto"/>
        </w:rPr>
        <w:t>1933 Act Regulations</w:t>
      </w:r>
      <w:r>
        <w:rPr>
          <w:rFonts w:ascii="Times New Roman" w:cs="Times New Roman" w:eastAsia="Times New Roman" w:hAnsi="Times New Roman"/>
          <w:sz w:val="20"/>
          <w:szCs w:val="20"/>
          <w:color w:val="auto"/>
        </w:rPr>
        <w:t>”), which shelf registration statement was declared effective on March 28, 2025. Such registration statement,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w:t>
      </w:r>
      <w:r>
        <w:rPr>
          <w:rFonts w:ascii="Times New Roman" w:cs="Times New Roman" w:eastAsia="Times New Roman" w:hAnsi="Times New Roman"/>
          <w:sz w:val="20"/>
          <w:szCs w:val="20"/>
          <w:u w:val="single" w:color="auto"/>
          <w:color w:val="auto"/>
        </w:rPr>
        <w:t>Rule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430B</w:t>
      </w:r>
      <w:r>
        <w:rPr>
          <w:rFonts w:ascii="Times New Roman" w:cs="Times New Roman" w:eastAsia="Times New Roman" w:hAnsi="Times New Roman"/>
          <w:sz w:val="20"/>
          <w:szCs w:val="20"/>
          <w:color w:val="auto"/>
        </w:rPr>
        <w:t>”),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Any registration statement filed pursuant to Rule 462(b) of the 1933 Act Regulations is herein called the “</w:t>
      </w:r>
      <w:r>
        <w:rPr>
          <w:rFonts w:ascii="Times New Roman" w:cs="Times New Roman" w:eastAsia="Times New Roman" w:hAnsi="Times New Roman"/>
          <w:sz w:val="20"/>
          <w:szCs w:val="20"/>
          <w:u w:val="single" w:color="auto"/>
          <w:color w:val="auto"/>
        </w:rPr>
        <w:t>Rule 462(b) Registration Statement</w:t>
      </w:r>
      <w:r>
        <w:rPr>
          <w:rFonts w:ascii="Times New Roman" w:cs="Times New Roman" w:eastAsia="Times New Roman" w:hAnsi="Times New Roman"/>
          <w:sz w:val="20"/>
          <w:szCs w:val="20"/>
          <w:color w:val="auto"/>
        </w:rPr>
        <w:t>” and, after such filing, the term “Registration Statement” shall include the Rule 462(b) Registration Statement.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w:t>
      </w:r>
      <w:r>
        <w:rPr>
          <w:rFonts w:ascii="Times New Roman" w:cs="Times New Roman" w:eastAsia="Times New Roman" w:hAnsi="Times New Roman"/>
          <w:sz w:val="20"/>
          <w:szCs w:val="20"/>
          <w:u w:val="single" w:color="auto"/>
          <w:color w:val="auto"/>
        </w:rPr>
        <w:t>Rule 424(b)</w:t>
      </w:r>
      <w:r>
        <w:rPr>
          <w:rFonts w:ascii="Times New Roman" w:cs="Times New Roman" w:eastAsia="Times New Roman" w:hAnsi="Times New Roman"/>
          <w:sz w:val="20"/>
          <w:szCs w:val="20"/>
          <w:color w:val="auto"/>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w:t>
      </w:r>
    </w:p>
    <w:p>
      <w:pPr>
        <w:spacing w:after="0" w:line="216" w:lineRule="exact"/>
        <w:rPr>
          <w:sz w:val="20"/>
          <w:szCs w:val="20"/>
          <w:color w:val="auto"/>
        </w:rPr>
      </w:pPr>
    </w:p>
    <w:p>
      <w:pPr>
        <w:ind w:left="660" w:right="20" w:firstLine="648"/>
        <w:spacing w:after="0" w:line="283" w:lineRule="auto"/>
        <w:rPr>
          <w:sz w:val="20"/>
          <w:szCs w:val="20"/>
          <w:color w:val="auto"/>
        </w:rPr>
      </w:pPr>
      <w:r>
        <w:rPr>
          <w:rFonts w:ascii="Times New Roman" w:cs="Times New Roman" w:eastAsia="Times New Roman" w:hAnsi="Times New Roman"/>
          <w:sz w:val="20"/>
          <w:szCs w:val="20"/>
          <w:color w:val="auto"/>
        </w:rPr>
        <w:t>“Applicable Time” means 7:45 P.M., New York City time, on June 30, 2026 or such other time as agreed by the Company and the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6" w:name="page7"/>
    <w:bookmarkEnd w:id="6"/>
    <w:p>
      <w:pPr>
        <w:jc w:val="both"/>
        <w:ind w:left="660"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“General Disclosure Package” means any Issuer General Use Free Writing Prospectuses issued at or prior to the Applicable Time, if permitted, the most recent preliminary prospectus (including any documents incorporated therein by reference) that is distributed to investors prior to the Applicable Time and the information included on </w:t>
      </w:r>
      <w:r>
        <w:rPr>
          <w:rFonts w:ascii="Times New Roman" w:cs="Times New Roman" w:eastAsia="Times New Roman" w:hAnsi="Times New Roman"/>
          <w:sz w:val="20"/>
          <w:szCs w:val="20"/>
          <w:u w:val="single" w:color="auto"/>
          <w:color w:val="auto"/>
        </w:rPr>
        <w:t>Schedule B-1</w:t>
      </w:r>
      <w:r>
        <w:rPr>
          <w:rFonts w:ascii="Times New Roman" w:cs="Times New Roman" w:eastAsia="Times New Roman" w:hAnsi="Times New Roman"/>
          <w:sz w:val="20"/>
          <w:szCs w:val="20"/>
          <w:color w:val="auto"/>
        </w:rPr>
        <w:t xml:space="preserve"> hereto, all considered together.</w:t>
      </w:r>
    </w:p>
    <w:p>
      <w:pPr>
        <w:spacing w:after="0" w:line="181"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0"/>
          <w:szCs w:val="20"/>
          <w:color w:val="auto"/>
        </w:rPr>
        <w:t>“Issuer Free Writing Prospectus” means any “issuer free writing prospectus,” as defined in Rule 433 of the 1933 Act Regulations (“</w:t>
      </w:r>
      <w:r>
        <w:rPr>
          <w:rFonts w:ascii="Times New Roman" w:cs="Times New Roman" w:eastAsia="Times New Roman" w:hAnsi="Times New Roman"/>
          <w:sz w:val="20"/>
          <w:szCs w:val="20"/>
          <w:u w:val="single" w:color="auto"/>
          <w:color w:val="auto"/>
        </w:rPr>
        <w:t>Rule 433</w:t>
      </w:r>
      <w:r>
        <w:rPr>
          <w:rFonts w:ascii="Times New Roman" w:cs="Times New Roman" w:eastAsia="Times New Roman" w:hAnsi="Times New Roman"/>
          <w:sz w:val="20"/>
          <w:szCs w:val="20"/>
          <w:color w:val="auto"/>
        </w:rPr>
        <w:t>”), including without limitation any “free writing prospectus” (as defined in Rule 405 of the 1933 Act Regulations (“</w:t>
      </w:r>
      <w:r>
        <w:rPr>
          <w:rFonts w:ascii="Times New Roman" w:cs="Times New Roman" w:eastAsia="Times New Roman" w:hAnsi="Times New Roman"/>
          <w:sz w:val="20"/>
          <w:szCs w:val="20"/>
          <w:u w:val="single" w:color="auto"/>
          <w:color w:val="auto"/>
        </w:rPr>
        <w:t>Rule 405</w:t>
      </w:r>
      <w:r>
        <w:rPr>
          <w:rFonts w:ascii="Times New Roman" w:cs="Times New Roman" w:eastAsia="Times New Roman" w:hAnsi="Times New Roman"/>
          <w:sz w:val="20"/>
          <w:szCs w:val="20"/>
          <w:color w:val="auto"/>
        </w:rPr>
        <w:t>”))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9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0"/>
          <w:szCs w:val="20"/>
          <w:color w:val="auto"/>
        </w:rPr>
        <w:t>“Issuer General Use Free Writing Prospectus” means any Issuer Free Writing Prospectus that is intended for general distribution to prospective investors (other than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electronic road show,” as defined in Rule 433), as evidenced by its being specified in </w:t>
      </w:r>
      <w:r>
        <w:rPr>
          <w:rFonts w:ascii="Times New Roman" w:cs="Times New Roman" w:eastAsia="Times New Roman" w:hAnsi="Times New Roman"/>
          <w:sz w:val="20"/>
          <w:szCs w:val="20"/>
          <w:u w:val="single" w:color="auto"/>
          <w:color w:val="auto"/>
        </w:rPr>
        <w:t>Schedule B-2</w:t>
      </w:r>
      <w:r>
        <w:rPr>
          <w:rFonts w:ascii="Times New Roman" w:cs="Times New Roman" w:eastAsia="Times New Roman" w:hAnsi="Times New Roman"/>
          <w:sz w:val="20"/>
          <w:szCs w:val="20"/>
          <w:color w:val="auto"/>
        </w:rPr>
        <w:t xml:space="preserve"> hereto.</w:t>
      </w:r>
    </w:p>
    <w:p>
      <w:pPr>
        <w:spacing w:after="0" w:line="181"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20"/>
          <w:szCs w:val="20"/>
          <w:color w:val="auto"/>
        </w:rPr>
        <w:t>“Issuer Limited Use Free Writing Prospectus” means any Issuer Free Writing Prospectus that is not an Issuer General Use Free Writing Prospectus.</w:t>
      </w:r>
    </w:p>
    <w:p>
      <w:pPr>
        <w:spacing w:after="0" w:line="173" w:lineRule="exact"/>
        <w:rPr>
          <w:sz w:val="20"/>
          <w:szCs w:val="20"/>
          <w:color w:val="auto"/>
        </w:rPr>
      </w:pPr>
    </w:p>
    <w:p>
      <w:pPr>
        <w:jc w:val="both"/>
        <w:ind w:left="660" w:firstLine="648"/>
        <w:spacing w:after="0" w:line="283" w:lineRule="auto"/>
        <w:rPr>
          <w:sz w:val="20"/>
          <w:szCs w:val="20"/>
          <w:color w:val="auto"/>
        </w:rPr>
      </w:pPr>
      <w:r>
        <w:rPr>
          <w:rFonts w:ascii="Times New Roman" w:cs="Times New Roman" w:eastAsia="Times New Roman" w:hAnsi="Times New Roman"/>
          <w:sz w:val="20"/>
          <w:szCs w:val="20"/>
          <w:color w:val="auto"/>
        </w:rPr>
        <w:t>“Testing-the-Waters Communication” means any oral or written communication with potential investors undertaken in reliance on Section 5(d) of the 1933 Act.</w:t>
      </w:r>
    </w:p>
    <w:p>
      <w:pPr>
        <w:spacing w:after="0" w:line="146" w:lineRule="exact"/>
        <w:rPr>
          <w:sz w:val="20"/>
          <w:szCs w:val="20"/>
          <w:color w:val="auto"/>
        </w:rPr>
      </w:pPr>
    </w:p>
    <w:p>
      <w:pPr>
        <w:jc w:val="both"/>
        <w:ind w:left="660" w:firstLine="648"/>
        <w:spacing w:after="0" w:line="283" w:lineRule="auto"/>
        <w:rPr>
          <w:sz w:val="20"/>
          <w:szCs w:val="20"/>
          <w:color w:val="auto"/>
        </w:rPr>
      </w:pPr>
      <w:r>
        <w:rPr>
          <w:rFonts w:ascii="Times New Roman" w:cs="Times New Roman" w:eastAsia="Times New Roman" w:hAnsi="Times New Roman"/>
          <w:sz w:val="20"/>
          <w:szCs w:val="20"/>
          <w:color w:val="auto"/>
        </w:rPr>
        <w:t>“Written Testing-the-Waters Communication” means any Testing-the-Waters Communication that is a written communication within the meaning of Rule 405 under the 1933 Act.</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w:t>
      </w:r>
      <w:r>
        <w:rPr>
          <w:rFonts w:ascii="Times New Roman" w:cs="Times New Roman" w:eastAsia="Times New Roman" w:hAnsi="Times New Roman"/>
          <w:sz w:val="20"/>
          <w:szCs w:val="20"/>
          <w:u w:val="single" w:color="auto"/>
          <w:color w:val="auto"/>
        </w:rPr>
        <w:t>1934 Act</w:t>
      </w:r>
      <w:r>
        <w:rPr>
          <w:rFonts w:ascii="Times New Roman" w:cs="Times New Roman" w:eastAsia="Times New Roman" w:hAnsi="Times New Roman"/>
          <w:sz w:val="20"/>
          <w:szCs w:val="20"/>
          <w:color w:val="auto"/>
        </w:rPr>
        <w:t>”), incorporated or deemed to be incorporated by reference in the Registration Statement, such preliminary prospectus or the Prospectus, as the case may be, at or after the execution and delivery of this Agreement.</w:t>
      </w:r>
    </w:p>
    <w:p>
      <w:pPr>
        <w:spacing w:after="0" w:line="17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656"/>
        <w:spacing w:after="0" w:line="232" w:lineRule="auto"/>
        <w:tabs>
          <w:tab w:leader="none" w:pos="128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Representations and Warranties by the Company</w:t>
      </w:r>
      <w:r>
        <w:rPr>
          <w:rFonts w:ascii="Times New Roman" w:cs="Times New Roman" w:eastAsia="Times New Roman" w:hAnsi="Times New Roman"/>
          <w:sz w:val="20"/>
          <w:szCs w:val="20"/>
          <w:color w:val="auto"/>
        </w:rPr>
        <w:t>. The Company represents and warrants to each Underwriter as of the date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hereof, the Applicable Time, the Closing Time (as defined below) and any Date of Delivery (as defined below), and agrees with each Underwriter,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7" w:name="page8"/>
    <w:bookmarkEnd w:id="7"/>
    <w:p>
      <w:pPr>
        <w:jc w:val="both"/>
        <w:ind w:left="460" w:firstLine="644"/>
        <w:spacing w:after="0" w:line="215" w:lineRule="auto"/>
        <w:tabs>
          <w:tab w:leader="none" w:pos="175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Statement and Prospectuses</w:t>
      </w:r>
      <w:r>
        <w:rPr>
          <w:rFonts w:ascii="Times New Roman" w:cs="Times New Roman" w:eastAsia="Times New Roman" w:hAnsi="Times New Roman"/>
          <w:sz w:val="20"/>
          <w:szCs w:val="20"/>
          <w:color w:val="auto"/>
        </w:rPr>
        <w:t>. The Company meets the requirements for use of Form S-3 under the 1933 Act.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178" w:lineRule="exact"/>
        <w:rPr>
          <w:sz w:val="20"/>
          <w:szCs w:val="20"/>
          <w:color w:val="auto"/>
        </w:rPr>
      </w:pPr>
    </w:p>
    <w:p>
      <w:pPr>
        <w:jc w:val="both"/>
        <w:ind w:left="460" w:firstLine="648"/>
        <w:spacing w:after="0" w:line="251" w:lineRule="auto"/>
        <w:rPr>
          <w:sz w:val="20"/>
          <w:szCs w:val="20"/>
          <w:color w:val="auto"/>
        </w:rPr>
      </w:pPr>
      <w:r>
        <w:rPr>
          <w:rFonts w:ascii="Times New Roman" w:cs="Times New Roman" w:eastAsia="Times New Roman" w:hAnsi="Times New Roman"/>
          <w:sz w:val="20"/>
          <w:szCs w:val="20"/>
          <w:color w:val="auto"/>
        </w:rPr>
        <w:t>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93" w:lineRule="exact"/>
        <w:rPr>
          <w:sz w:val="20"/>
          <w:szCs w:val="20"/>
          <w:color w:val="auto"/>
        </w:rPr>
      </w:pPr>
    </w:p>
    <w:p>
      <w:pPr>
        <w:jc w:val="both"/>
        <w:ind w:left="460" w:firstLine="648"/>
        <w:spacing w:after="0" w:line="258" w:lineRule="auto"/>
        <w:rPr>
          <w:sz w:val="20"/>
          <w:szCs w:val="20"/>
          <w:color w:val="auto"/>
        </w:rPr>
      </w:pPr>
      <w:r>
        <w:rPr>
          <w:rFonts w:ascii="Times New Roman" w:cs="Times New Roman" w:eastAsia="Times New Roman" w:hAnsi="Times New Roman"/>
          <w:sz w:val="20"/>
          <w:szCs w:val="20"/>
          <w:color w:val="auto"/>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w:t>
      </w:r>
      <w:r>
        <w:rPr>
          <w:rFonts w:ascii="Times New Roman" w:cs="Times New Roman" w:eastAsia="Times New Roman" w:hAnsi="Times New Roman"/>
          <w:sz w:val="20"/>
          <w:szCs w:val="20"/>
          <w:u w:val="single" w:color="auto"/>
          <w:color w:val="auto"/>
        </w:rPr>
        <w:t>1934 Act Regulations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left="460" w:firstLine="648"/>
        <w:spacing w:after="0" w:line="261" w:lineRule="auto"/>
        <w:rPr>
          <w:sz w:val="20"/>
          <w:szCs w:val="20"/>
          <w:color w:val="auto"/>
        </w:rPr>
      </w:pPr>
      <w:r>
        <w:rPr>
          <w:rFonts w:ascii="Times New Roman" w:cs="Times New Roman" w:eastAsia="Times New Roman" w:hAnsi="Times New Roman"/>
          <w:sz w:val="20"/>
          <w:szCs w:val="20"/>
          <w:color w:val="auto"/>
        </w:rPr>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spacing w:after="0" w:line="168" w:lineRule="exact"/>
        <w:rPr>
          <w:sz w:val="20"/>
          <w:szCs w:val="20"/>
          <w:color w:val="auto"/>
        </w:rPr>
      </w:pPr>
    </w:p>
    <w:p>
      <w:pPr>
        <w:jc w:val="both"/>
        <w:ind w:left="460" w:firstLine="644"/>
        <w:spacing w:after="0" w:line="210" w:lineRule="auto"/>
        <w:tabs>
          <w:tab w:leader="none" w:pos="175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Accurate Disclosure</w:t>
      </w:r>
      <w:r>
        <w:rPr>
          <w:rFonts w:ascii="Times New Roman" w:cs="Times New Roman" w:eastAsia="Times New Roman" w:hAnsi="Times New Roman"/>
          <w:sz w:val="20"/>
          <w:szCs w:val="20"/>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(B) any individual Issuer Limited Use Free Writing Prospectus, when considered together with the General Disclosure Package, nor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40"/>
          </w:cols>
          <w:pgMar w:left="520" w:top="1399" w:right="339"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9"/>
          <w:szCs w:val="19"/>
          <w:color w:val="auto"/>
        </w:rPr>
        <w:t>a material fact or omit to state a material fact required to be stated therein or necessary to make the statements therein not misleading.</w:t>
      </w:r>
    </w:p>
    <w:p>
      <w:pPr>
        <w:spacing w:after="0" w:line="214" w:lineRule="exact"/>
        <w:rPr>
          <w:sz w:val="20"/>
          <w:szCs w:val="20"/>
          <w:color w:val="auto"/>
        </w:rPr>
      </w:pPr>
    </w:p>
    <w:p>
      <w:pPr>
        <w:jc w:val="both"/>
        <w:ind w:left="460" w:firstLine="648"/>
        <w:spacing w:after="0" w:line="266" w:lineRule="auto"/>
        <w:rPr>
          <w:sz w:val="20"/>
          <w:szCs w:val="20"/>
          <w:color w:val="auto"/>
        </w:rPr>
      </w:pPr>
      <w:r>
        <w:rPr>
          <w:rFonts w:ascii="Times New Roman" w:cs="Times New Roman" w:eastAsia="Times New Roman" w:hAnsi="Times New Roman"/>
          <w:sz w:val="19"/>
          <w:szCs w:val="19"/>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caption “Underwriting – Discounts and Commissions” and the information contained in the first, second and third paragraphs under the caption “Underwriting – Price Stabilization, Short Positions and Penalty Bids” in each case contained in the Prospectus (collectively, the “</w:t>
      </w:r>
      <w:r>
        <w:rPr>
          <w:rFonts w:ascii="Times New Roman" w:cs="Times New Roman" w:eastAsia="Times New Roman" w:hAnsi="Times New Roman"/>
          <w:sz w:val="19"/>
          <w:szCs w:val="19"/>
          <w:u w:val="single" w:color="auto"/>
          <w:color w:val="auto"/>
        </w:rPr>
        <w:t>Underwriter Information</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460" w:firstLine="644"/>
        <w:spacing w:after="0" w:line="211" w:lineRule="auto"/>
        <w:tabs>
          <w:tab w:leader="none" w:pos="175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Issuer Free Writing Prospectuses</w:t>
      </w:r>
      <w:r>
        <w:rPr>
          <w:rFonts w:ascii="Times New Roman" w:cs="Times New Roman" w:eastAsia="Times New Roman" w:hAnsi="Times New Roman"/>
          <w:sz w:val="20"/>
          <w:szCs w:val="20"/>
          <w:color w:val="auto"/>
        </w:rPr>
        <w:t xml:space="preserve">.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No filing of any “road show” (as defined in Rule 433(h)) is required in connection with the offering of the Securities. Any Issuer Free Writing Prospectus that the Company is required to file pursuant to Rule 433(d) under the 1933 Act has been, or will be, filed with the Commission in accordance with the requirements of the 1933 Act and the 1933 Act Regulations. Each Issuer Free Writing Prospectus that the Company has filed, or is required to file, pursuant to Rule 433(d) under the 1933 Act or that was prepared by or on behalf of or used or referred to by the Company complies or will comply in all material respects with the requirements of the 1933 Act and the 1933 Act Regulations. Except for the Issuer Free Writing Prospectuses, if any, identified in </w:t>
      </w:r>
      <w:r>
        <w:rPr>
          <w:rFonts w:ascii="Times New Roman" w:cs="Times New Roman" w:eastAsia="Times New Roman" w:hAnsi="Times New Roman"/>
          <w:sz w:val="20"/>
          <w:szCs w:val="20"/>
          <w:u w:val="single" w:color="auto"/>
          <w:color w:val="auto"/>
        </w:rPr>
        <w:t>Schedule B-2</w:t>
      </w:r>
      <w:r>
        <w:rPr>
          <w:rFonts w:ascii="Times New Roman" w:cs="Times New Roman" w:eastAsia="Times New Roman" w:hAnsi="Times New Roman"/>
          <w:sz w:val="20"/>
          <w:szCs w:val="20"/>
          <w:color w:val="auto"/>
        </w:rPr>
        <w:t xml:space="preserve"> hereto, and electronic road shows, if any, each furnished to the Representatives before first use, the Company has not prepared, used or referred to, and will not, without the prior consent of the Representatives, prepare, use or refer to, any issuer free writing prospectus.</w:t>
      </w:r>
    </w:p>
    <w:p>
      <w:pPr>
        <w:spacing w:after="0" w:line="165" w:lineRule="exact"/>
        <w:rPr>
          <w:rFonts w:ascii="Times New Roman" w:cs="Times New Roman" w:eastAsia="Times New Roman" w:hAnsi="Times New Roman"/>
          <w:sz w:val="20"/>
          <w:szCs w:val="20"/>
          <w:color w:val="auto"/>
        </w:rPr>
      </w:pPr>
    </w:p>
    <w:p>
      <w:pPr>
        <w:jc w:val="both"/>
        <w:ind w:left="460" w:firstLine="644"/>
        <w:spacing w:after="0" w:line="215" w:lineRule="auto"/>
        <w:tabs>
          <w:tab w:leader="none" w:pos="174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Testing-the-Waters Materials</w:t>
      </w:r>
      <w:r>
        <w:rPr>
          <w:rFonts w:ascii="Times New Roman" w:cs="Times New Roman" w:eastAsia="Times New Roman" w:hAnsi="Times New Roman"/>
          <w:sz w:val="20"/>
          <w:szCs w:val="20"/>
          <w:color w:val="auto"/>
        </w:rPr>
        <w:t xml:space="preserve">. The Company (A) has not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Times New Roman" w:cs="Times New Roman" w:eastAsia="Times New Roman" w:hAnsi="Times New Roman"/>
          <w:sz w:val="20"/>
          <w:szCs w:val="20"/>
          <w:u w:val="single" w:color="auto"/>
          <w:color w:val="auto"/>
        </w:rPr>
        <w:t>Schedule B-3</w:t>
      </w:r>
      <w:r>
        <w:rPr>
          <w:rFonts w:ascii="Times New Roman" w:cs="Times New Roman" w:eastAsia="Times New Roman" w:hAnsi="Times New Roman"/>
          <w:sz w:val="20"/>
          <w:szCs w:val="20"/>
          <w:color w:val="auto"/>
        </w:rPr>
        <w:t xml:space="preserve"> hereto.</w:t>
      </w:r>
    </w:p>
    <w:p>
      <w:pPr>
        <w:spacing w:after="0" w:line="164" w:lineRule="exact"/>
        <w:rPr>
          <w:rFonts w:ascii="Times New Roman" w:cs="Times New Roman" w:eastAsia="Times New Roman" w:hAnsi="Times New Roman"/>
          <w:sz w:val="20"/>
          <w:szCs w:val="20"/>
          <w:color w:val="auto"/>
        </w:rPr>
      </w:pPr>
    </w:p>
    <w:p>
      <w:pPr>
        <w:jc w:val="both"/>
        <w:ind w:left="460" w:firstLine="644"/>
        <w:spacing w:after="0" w:line="222" w:lineRule="auto"/>
        <w:tabs>
          <w:tab w:leader="none" w:pos="174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Not Ineligible Issuer</w:t>
      </w:r>
      <w:r>
        <w:rPr>
          <w:rFonts w:ascii="Times New Roman" w:cs="Times New Roman" w:eastAsia="Times New Roman" w:hAnsi="Times New Roman"/>
          <w:sz w:val="20"/>
          <w:szCs w:val="20"/>
          <w:color w:val="auto"/>
        </w:rPr>
        <w:t>. (i) At the time of filing the Registration Statement and (ii) at the time of the execution of this Agreement (with such date being used as the determination date for purposes of this clause (v)), the Company was not and is not an “ineligible issuer” (as defined in Rule 405), without taking account of any determination by the Commission pursuant to Rule 405 that it is not necessary that the Company be considered an ineligible issuer.</w:t>
      </w:r>
    </w:p>
    <w:p>
      <w:pPr>
        <w:spacing w:after="0" w:line="148" w:lineRule="exact"/>
        <w:rPr>
          <w:rFonts w:ascii="Times New Roman" w:cs="Times New Roman" w:eastAsia="Times New Roman" w:hAnsi="Times New Roman"/>
          <w:sz w:val="20"/>
          <w:szCs w:val="20"/>
          <w:color w:val="auto"/>
        </w:rPr>
      </w:pPr>
    </w:p>
    <w:p>
      <w:pPr>
        <w:jc w:val="both"/>
        <w:ind w:left="460" w:firstLine="644"/>
        <w:spacing w:after="0" w:line="215" w:lineRule="auto"/>
        <w:tabs>
          <w:tab w:leader="none" w:pos="174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Independent Accountants</w:t>
      </w:r>
      <w:r>
        <w:rPr>
          <w:rFonts w:ascii="Times New Roman" w:cs="Times New Roman" w:eastAsia="Times New Roman" w:hAnsi="Times New Roman"/>
          <w:sz w:val="20"/>
          <w:szCs w:val="20"/>
          <w:color w:val="auto"/>
        </w:rPr>
        <w:t>. Deloitte &amp; Touche LLP, whose report on the consolidated financial statements of the Company is filed with the Commission as part of the Company’s most recent annual report on Form 10-K filed with the Commission and incorporated by reference in the Registration Statement, the General Disclosure Package and the Prospectus, is (i) an independent registered public accounting firm as required by the 1933 Act, the 1934 Act and the rules of the Public Company Accounting Oversight Board (“</w:t>
      </w:r>
      <w:r>
        <w:rPr>
          <w:rFonts w:ascii="Times New Roman" w:cs="Times New Roman" w:eastAsia="Times New Roman" w:hAnsi="Times New Roman"/>
          <w:sz w:val="20"/>
          <w:szCs w:val="20"/>
          <w:u w:val="single" w:color="auto"/>
          <w:color w:val="auto"/>
        </w:rPr>
        <w:t>PCAOB</w:t>
      </w:r>
      <w:r>
        <w:rPr>
          <w:rFonts w:ascii="Times New Roman" w:cs="Times New Roman" w:eastAsia="Times New Roman" w:hAnsi="Times New Roman"/>
          <w:sz w:val="20"/>
          <w:szCs w:val="20"/>
          <w:color w:val="auto"/>
        </w:rPr>
        <w:t>”), (ii) in compliance with the applicable requirements relating to the qualification of accountants under Rule 2-01 of Regulation S-X under the 1933 Act and (iii) a registered public accounting firm as defined by the PCAOB whose registration has not been suspended or revoked and who has not, to the Company’s knowledge, requested such registration to be withdrawn. Deloitte &amp; Touche LLP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40"/>
          </w:cols>
          <w:pgMar w:left="520" w:top="1399" w:right="339"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20"/>
          <w:szCs w:val="20"/>
          <w:color w:val="auto"/>
        </w:rPr>
        <w:t>not been engaged by the Company to perform any “prohibited activities” or provided to the Company any “non-audit services” (as defined in Section 10A of the 1934 Act).</w:t>
      </w:r>
    </w:p>
    <w:p>
      <w:pPr>
        <w:spacing w:after="0" w:line="148" w:lineRule="exact"/>
        <w:rPr>
          <w:sz w:val="20"/>
          <w:szCs w:val="20"/>
          <w:color w:val="auto"/>
        </w:rPr>
      </w:pPr>
    </w:p>
    <w:p>
      <w:pPr>
        <w:jc w:val="both"/>
        <w:ind w:left="460" w:firstLine="644"/>
        <w:spacing w:after="0" w:line="208" w:lineRule="auto"/>
        <w:tabs>
          <w:tab w:leader="none" w:pos="17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 Non-GAAP Financial Measures</w:t>
      </w:r>
      <w:r>
        <w:rPr>
          <w:rFonts w:ascii="Times New Roman" w:cs="Times New Roman" w:eastAsia="Times New Roman" w:hAnsi="Times New Roman"/>
          <w:sz w:val="20"/>
          <w:szCs w:val="20"/>
          <w:color w:val="auto"/>
        </w:rPr>
        <w:t>. The financial statements included or incorporated by reference in the Registration Statement, the General Disclosure Package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and the Subsidiaries for the periods specified and have been prepared in compliance in all material respects with the requirements of the 1933 Act and 1934 Act and in conformity in all material respects with United States generally accepted accounting principles (“</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applied on a consistent basis during the periods involved. To the extent applicable, any pro forma financial statements, information or data included or incorporated by reference in the Registration Statement, the General Disclosure Package and the Prospectus comply in all material respects with the requirements of Regulation S-X of the 1933 Act, including, without limitation, Article 11 thereof, fairly present in all material respects the information set forth therein,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the General Disclosure Package and the Prospectus is accurately and fairly presented and prepared in all material respects on a basis consistent with the financial statements and books and records of the Company. There are no financial statements (historical or pro forma) that are required to be included or incorporated by reference in the Registration Statement, the General Disclosure Package or the Prospectus that are not included or incorporated by reference therein as required. The Company and the Subsidiaries do not have any material liabilities or obligations, direct or contingent (including any off-balance sheet obligations or any “variable interest entities” as that term is used in Accounting Standards Codification Paragraph 810-10-25-20), not disclosed in the Registration Statement, the General Disclosure Package and the Prospectus. All disclosures contained in the Registration Statement, the General Disclosure Package or the Prospectus that contain “non-GAAP financial measures” (as such term is defined by the rules and regulations of the Commission) comply, in all material respects, with Regulation G under the 1934 Act and Item 10 of Regulation S-K under the 1933 Act, to the extent applicable. The statistical, industry-related and market-related data included or incorporated by reference in the Registration Statement, the General Disclosure Package and the Prospectus were obtained or derived from sources which the Company reasonably and in good faith believes are reliable and accurate in all material respects,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General Disclosure Package and the Prospectus.</w:t>
      </w:r>
    </w:p>
    <w:p>
      <w:pPr>
        <w:spacing w:after="0" w:line="179" w:lineRule="exact"/>
        <w:rPr>
          <w:rFonts w:ascii="Times New Roman" w:cs="Times New Roman" w:eastAsia="Times New Roman" w:hAnsi="Times New Roman"/>
          <w:sz w:val="20"/>
          <w:szCs w:val="20"/>
          <w:color w:val="auto"/>
        </w:rPr>
      </w:pPr>
    </w:p>
    <w:p>
      <w:pPr>
        <w:jc w:val="both"/>
        <w:ind w:left="460" w:firstLine="644"/>
        <w:spacing w:after="0" w:line="217" w:lineRule="auto"/>
        <w:tabs>
          <w:tab w:leader="none" w:pos="174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the Sarbanes-Oxley Act of 2002</w:t>
      </w:r>
      <w:r>
        <w:rPr>
          <w:rFonts w:ascii="Times New Roman" w:cs="Times New Roman" w:eastAsia="Times New Roman" w:hAnsi="Times New Roman"/>
          <w:sz w:val="20"/>
          <w:szCs w:val="20"/>
          <w:color w:val="auto"/>
        </w:rPr>
        <w:t>. The Company is in compliance with, and there is and has been no failure on the part of the Company and, to the Company’s knowledge, any of the Company’s directors or officers, in their capacities as such, to comply with, any applicable provision of the Sarbanes-Oxley Act of 2002 and all rules and regulations promulgated thereunder or implementing the provisions thereof and the rules and regulations promulgated in connection therewith, including Section 402 relating to loans.</w:t>
      </w:r>
    </w:p>
    <w:p>
      <w:pPr>
        <w:spacing w:after="0" w:line="161" w:lineRule="exact"/>
        <w:rPr>
          <w:rFonts w:ascii="Times New Roman" w:cs="Times New Roman" w:eastAsia="Times New Roman" w:hAnsi="Times New Roman"/>
          <w:sz w:val="20"/>
          <w:szCs w:val="20"/>
          <w:color w:val="auto"/>
        </w:rPr>
      </w:pPr>
    </w:p>
    <w:p>
      <w:pPr>
        <w:jc w:val="both"/>
        <w:ind w:left="460" w:firstLine="644"/>
        <w:spacing w:after="0" w:line="222" w:lineRule="auto"/>
        <w:tabs>
          <w:tab w:leader="none" w:pos="17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Change in Business</w:t>
      </w:r>
      <w:r>
        <w:rPr>
          <w:rFonts w:ascii="Times New Roman" w:cs="Times New Roman" w:eastAsia="Times New Roman" w:hAnsi="Times New Roman"/>
          <w:sz w:val="20"/>
          <w:szCs w:val="20"/>
          <w:color w:val="auto"/>
        </w:rPr>
        <w:t>. Subsequent to the respective dates as of which information is given in the Registration Statement and the Prospectus and except as set forth in the Registration Statement, the General Disclosure Package or the Prospectus: (i) there has been no material adverse change, or any development that could reasonably be expected to result in a material adverse change, in the condition (financial or otherwise), earnings,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40"/>
          </w:cols>
          <w:pgMar w:left="520" w:top="1399" w:right="339"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20"/>
          <w:szCs w:val="20"/>
          <w:color w:val="auto"/>
        </w:rPr>
        <w:t>operations, business, properties, operations, assets, liabilities or prospects of the Company and its Subsidiaries, taken as a whole,</w:t>
      </w:r>
    </w:p>
    <w:p>
      <w:pPr>
        <w:ind w:left="460"/>
        <w:spacing w:after="0" w:line="204" w:lineRule="auto"/>
        <w:rPr>
          <w:sz w:val="20"/>
          <w:szCs w:val="20"/>
          <w:color w:val="auto"/>
        </w:rPr>
      </w:pPr>
      <w:r>
        <w:rPr>
          <w:rFonts w:ascii="Times New Roman" w:cs="Times New Roman" w:eastAsia="Times New Roman" w:hAnsi="Times New Roman"/>
          <w:sz w:val="20"/>
          <w:szCs w:val="20"/>
          <w:color w:val="auto"/>
        </w:rPr>
        <w:t>whether or not arising from transactions in the ordinary course of business (a “</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(ii) neither the Company nor its Subsidiaries has (A) incurred any material liability or obligation, indirect, direct or contingent, including without limitation</w:t>
      </w:r>
    </w:p>
    <w:p>
      <w:pPr>
        <w:ind w:left="460"/>
        <w:spacing w:after="0" w:line="211" w:lineRule="auto"/>
        <w:rPr>
          <w:sz w:val="20"/>
          <w:szCs w:val="20"/>
          <w:color w:val="auto"/>
        </w:rPr>
      </w:pPr>
      <w:r>
        <w:rPr>
          <w:rFonts w:ascii="Times New Roman" w:cs="Times New Roman" w:eastAsia="Times New Roman" w:hAnsi="Times New Roman"/>
          <w:sz w:val="20"/>
          <w:szCs w:val="20"/>
          <w:color w:val="auto"/>
        </w:rPr>
        <w:t>any losses or interference with its business from fire, explosion, flood, earthquakes, accident or other calamity, whether or not</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covered by insurance, or from any strike, labor dispute or court or governmental action, order or decree, that are material, individually or in the aggregate, to the Company and its Subsidiaries, considered as one entity, (B) entered into any material</w:t>
      </w:r>
    </w:p>
    <w:p>
      <w:pPr>
        <w:ind w:left="460"/>
        <w:spacing w:after="0" w:line="211" w:lineRule="auto"/>
        <w:rPr>
          <w:sz w:val="20"/>
          <w:szCs w:val="20"/>
          <w:color w:val="auto"/>
        </w:rPr>
      </w:pPr>
      <w:r>
        <w:rPr>
          <w:rFonts w:ascii="Times New Roman" w:cs="Times New Roman" w:eastAsia="Times New Roman" w:hAnsi="Times New Roman"/>
          <w:sz w:val="20"/>
          <w:szCs w:val="20"/>
          <w:color w:val="auto"/>
        </w:rPr>
        <w:t>transactions not in the ordinary course of business or (C) issued or granted any shares of the Company’s capital stock or securities</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convertible into or exchangeable or exercisable for or that represent the right to receive shares of the Company’s capital stock other than under the Stock Plans (as defined below); and (iii) there has not been any material decrease in the share capital or any material</w:t>
      </w:r>
    </w:p>
    <w:p>
      <w:pPr>
        <w:ind w:left="460"/>
        <w:spacing w:after="0" w:line="211" w:lineRule="auto"/>
        <w:rPr>
          <w:sz w:val="20"/>
          <w:szCs w:val="20"/>
          <w:color w:val="auto"/>
        </w:rPr>
      </w:pPr>
      <w:r>
        <w:rPr>
          <w:rFonts w:ascii="Times New Roman" w:cs="Times New Roman" w:eastAsia="Times New Roman" w:hAnsi="Times New Roman"/>
          <w:sz w:val="20"/>
          <w:szCs w:val="20"/>
          <w:color w:val="auto"/>
        </w:rPr>
        <w:t>increase in any short-term or long-term indebtedness of the Company or any of its Subsidiaries, and there has been no dividend or</w:t>
      </w:r>
    </w:p>
    <w:p>
      <w:pPr>
        <w:spacing w:after="0" w:line="1" w:lineRule="exact"/>
        <w:rPr>
          <w:sz w:val="20"/>
          <w:szCs w:val="20"/>
          <w:color w:val="auto"/>
        </w:rPr>
      </w:pPr>
    </w:p>
    <w:p>
      <w:pPr>
        <w:ind w:left="460"/>
        <w:spacing w:after="0" w:line="215" w:lineRule="auto"/>
        <w:rPr>
          <w:sz w:val="20"/>
          <w:szCs w:val="20"/>
          <w:color w:val="auto"/>
        </w:rPr>
      </w:pPr>
      <w:r>
        <w:rPr>
          <w:rFonts w:ascii="Times New Roman" w:cs="Times New Roman" w:eastAsia="Times New Roman" w:hAnsi="Times New Roman"/>
          <w:sz w:val="19"/>
          <w:szCs w:val="19"/>
          <w:color w:val="auto"/>
        </w:rPr>
        <w:t>distribution of any kind declared, paid or made by the Company or, except for dividends paid to the Company or another Subsidiary, by any Subsidiary on any class of shares, or any repurchase or redemption by the Company or any of its Subsidiaries of any class of</w:t>
      </w:r>
    </w:p>
    <w:p>
      <w:pPr>
        <w:ind w:left="460"/>
        <w:spacing w:after="0"/>
        <w:rPr>
          <w:sz w:val="20"/>
          <w:szCs w:val="20"/>
          <w:color w:val="auto"/>
        </w:rPr>
      </w:pPr>
      <w:r>
        <w:rPr>
          <w:rFonts w:ascii="Times New Roman" w:cs="Times New Roman" w:eastAsia="Times New Roman" w:hAnsi="Times New Roman"/>
          <w:sz w:val="20"/>
          <w:szCs w:val="20"/>
          <w:color w:val="auto"/>
        </w:rPr>
        <w:t>shares.</w:t>
      </w:r>
    </w:p>
    <w:p>
      <w:pPr>
        <w:spacing w:after="0" w:line="167" w:lineRule="exact"/>
        <w:rPr>
          <w:sz w:val="20"/>
          <w:szCs w:val="20"/>
          <w:color w:val="auto"/>
        </w:rPr>
      </w:pPr>
    </w:p>
    <w:p>
      <w:pPr>
        <w:jc w:val="both"/>
        <w:ind w:left="460" w:firstLine="644"/>
        <w:spacing w:after="0" w:line="213" w:lineRule="auto"/>
        <w:tabs>
          <w:tab w:leader="none" w:pos="174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Standing of the Company</w:t>
      </w:r>
      <w:r>
        <w:rPr>
          <w:rFonts w:ascii="Times New Roman" w:cs="Times New Roman" w:eastAsia="Times New Roman" w:hAnsi="Times New Roman"/>
          <w:sz w:val="20"/>
          <w:szCs w:val="20"/>
          <w:color w:val="auto"/>
        </w:rPr>
        <w:t>. The Company has been duly organized and is validly existing as a corporation in good standing under the laws of the State of Delaware, with full corporate power and authority to acquire, own, lease and operate its properties, and to lease the same to others, and to conduct its business as described in the Registration Statement, the General Disclosure Package and the Prospectus and to enter into and perform its obligations under this Agreement and the Pre-Funded Warrant. The Company is duly qualified to transact business as a foreign corporation and is in good standing in the State of New York and under the laws of each other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w:t>
      </w:r>
    </w:p>
    <w:p>
      <w:pPr>
        <w:spacing w:after="0" w:line="162" w:lineRule="exact"/>
        <w:rPr>
          <w:rFonts w:ascii="Times New Roman" w:cs="Times New Roman" w:eastAsia="Times New Roman" w:hAnsi="Times New Roman"/>
          <w:sz w:val="20"/>
          <w:szCs w:val="20"/>
          <w:color w:val="auto"/>
        </w:rPr>
      </w:pPr>
    </w:p>
    <w:p>
      <w:pPr>
        <w:jc w:val="both"/>
        <w:ind w:left="460" w:firstLine="644"/>
        <w:spacing w:after="0" w:line="209" w:lineRule="auto"/>
        <w:tabs>
          <w:tab w:leader="none" w:pos="17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Standing of the Company’s Subsidiaries</w:t>
      </w:r>
      <w:r>
        <w:rPr>
          <w:rFonts w:ascii="Times New Roman" w:cs="Times New Roman" w:eastAsia="Times New Roman" w:hAnsi="Times New Roman"/>
          <w:sz w:val="20"/>
          <w:szCs w:val="20"/>
          <w:color w:val="auto"/>
        </w:rPr>
        <w:t>. Each of the Company’s “subsidiaries” (for purposes of this Agreement, as defined in Rule 405 under the 1933 Act) (each, a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has been duly organized and is validly existing in good standing (where such concept exists) under the laws of the jurisdiction of its organization and has full power and authority to acquire, own, lease and operate its properties, and to conduct its business as described in the Registration Statement, the General Disclosure Package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local securities laws and, except as described in the Registration Statement, the General Disclosure Package and the Prospectus, is owned by the Company, directly or through other wholly-owned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75" w:lineRule="exact"/>
        <w:rPr>
          <w:rFonts w:ascii="Times New Roman" w:cs="Times New Roman" w:eastAsia="Times New Roman" w:hAnsi="Times New Roman"/>
          <w:sz w:val="20"/>
          <w:szCs w:val="20"/>
          <w:color w:val="auto"/>
        </w:rPr>
      </w:pPr>
    </w:p>
    <w:p>
      <w:pPr>
        <w:ind w:left="460" w:firstLine="644"/>
        <w:spacing w:after="0" w:line="233" w:lineRule="auto"/>
        <w:tabs>
          <w:tab w:leader="none" w:pos="17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Capitalization</w:t>
      </w:r>
      <w:r>
        <w:rPr>
          <w:rFonts w:ascii="Times New Roman" w:cs="Times New Roman" w:eastAsia="Times New Roman" w:hAnsi="Times New Roman"/>
          <w:sz w:val="20"/>
          <w:szCs w:val="20"/>
          <w:color w:val="auto"/>
        </w:rPr>
        <w:t>. The Company has the authorized and outstanding capitalization as set forth in the Company’s annual report on Form 10-K for the most recent fiscal year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040"/>
          </w:cols>
          <w:pgMar w:left="520" w:top="1394" w:right="33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20"/>
          <w:szCs w:val="20"/>
          <w:color w:val="auto"/>
        </w:rPr>
        <w:t>later, the Company’s quarterly report on Form 10-Q for the most recent fiscal quarter, as of the dates referred to therein (except for</w:t>
      </w:r>
    </w:p>
    <w:p>
      <w:pPr>
        <w:ind w:left="460"/>
        <w:spacing w:after="0" w:line="204" w:lineRule="auto"/>
        <w:rPr>
          <w:sz w:val="20"/>
          <w:szCs w:val="20"/>
          <w:color w:val="auto"/>
        </w:rPr>
      </w:pPr>
      <w:r>
        <w:rPr>
          <w:rFonts w:ascii="Times New Roman" w:cs="Times New Roman" w:eastAsia="Times New Roman" w:hAnsi="Times New Roman"/>
          <w:sz w:val="20"/>
          <w:szCs w:val="20"/>
          <w:color w:val="auto"/>
        </w:rPr>
        <w:t>subsequent issuances, if any, (A) pursuant to this Agreement, (B) pursuant to reservations, agreements or employee benefit plans referred to in the Registration Statement, the General Disclosure Package and the Prospectus or (C) pursuant to the conversion of</w:t>
      </w:r>
    </w:p>
    <w:p>
      <w:pPr>
        <w:ind w:left="460"/>
        <w:spacing w:after="0" w:line="211" w:lineRule="auto"/>
        <w:rPr>
          <w:sz w:val="20"/>
          <w:szCs w:val="20"/>
          <w:color w:val="auto"/>
        </w:rPr>
      </w:pPr>
      <w:r>
        <w:rPr>
          <w:rFonts w:ascii="Times New Roman" w:cs="Times New Roman" w:eastAsia="Times New Roman" w:hAnsi="Times New Roman"/>
          <w:sz w:val="20"/>
          <w:szCs w:val="20"/>
          <w:color w:val="auto"/>
        </w:rPr>
        <w:t>convertible securities or exercise of options referred to in the Registration Statement, the General Disclosure Package and the</w:t>
      </w:r>
    </w:p>
    <w:p>
      <w:pPr>
        <w:spacing w:after="0" w:line="1" w:lineRule="exact"/>
        <w:rPr>
          <w:sz w:val="20"/>
          <w:szCs w:val="20"/>
          <w:color w:val="auto"/>
        </w:rPr>
      </w:pPr>
    </w:p>
    <w:p>
      <w:pPr>
        <w:ind w:left="460"/>
        <w:spacing w:after="0" w:line="215" w:lineRule="auto"/>
        <w:rPr>
          <w:sz w:val="20"/>
          <w:szCs w:val="20"/>
          <w:color w:val="auto"/>
        </w:rPr>
      </w:pPr>
      <w:r>
        <w:rPr>
          <w:rFonts w:ascii="Times New Roman" w:cs="Times New Roman" w:eastAsia="Times New Roman" w:hAnsi="Times New Roman"/>
          <w:sz w:val="19"/>
          <w:szCs w:val="19"/>
          <w:color w:val="auto"/>
        </w:rPr>
        <w:t>Prospectus). The Common Stock conforms in all material respects to the description thereof contained in the Registration Statement, the General Disclosure Package and the Prospectus, including under the heading “Description of Securities.” All of the issued and</w:t>
      </w:r>
    </w:p>
    <w:p>
      <w:pPr>
        <w:ind w:left="460"/>
        <w:spacing w:after="0" w:line="211" w:lineRule="auto"/>
        <w:rPr>
          <w:sz w:val="20"/>
          <w:szCs w:val="20"/>
          <w:color w:val="auto"/>
        </w:rPr>
      </w:pPr>
      <w:r>
        <w:rPr>
          <w:rFonts w:ascii="Times New Roman" w:cs="Times New Roman" w:eastAsia="Times New Roman" w:hAnsi="Times New Roman"/>
          <w:sz w:val="20"/>
          <w:szCs w:val="20"/>
          <w:color w:val="auto"/>
        </w:rPr>
        <w:t>outstanding share capital or other equity or ownership interest of the Company (including the Common Stock) has been duly</w:t>
      </w:r>
    </w:p>
    <w:p>
      <w:pPr>
        <w:ind w:left="460"/>
        <w:spacing w:after="0" w:line="204" w:lineRule="auto"/>
        <w:rPr>
          <w:sz w:val="20"/>
          <w:szCs w:val="20"/>
          <w:color w:val="auto"/>
        </w:rPr>
      </w:pPr>
      <w:r>
        <w:rPr>
          <w:rFonts w:ascii="Times New Roman" w:cs="Times New Roman" w:eastAsia="Times New Roman" w:hAnsi="Times New Roman"/>
          <w:sz w:val="20"/>
          <w:szCs w:val="20"/>
          <w:color w:val="auto"/>
        </w:rPr>
        <w:t>authorized and validly issued and is fully paid and nonassessable, has been issued in compliance with all federal, state and local securities laws and is free and clear of any security interest, mortgage, pledge, lien, encumbrance or adverse claim. None of the</w:t>
      </w:r>
    </w:p>
    <w:p>
      <w:pPr>
        <w:ind w:left="460"/>
        <w:spacing w:after="0" w:line="211" w:lineRule="auto"/>
        <w:rPr>
          <w:sz w:val="20"/>
          <w:szCs w:val="20"/>
          <w:color w:val="auto"/>
        </w:rPr>
      </w:pPr>
      <w:r>
        <w:rPr>
          <w:rFonts w:ascii="Times New Roman" w:cs="Times New Roman" w:eastAsia="Times New Roman" w:hAnsi="Times New Roman"/>
          <w:sz w:val="20"/>
          <w:szCs w:val="20"/>
          <w:color w:val="auto"/>
        </w:rPr>
        <w:t>outstanding shares of capital stock of the Company were issued in violation of any preemptive rights, rights of first refusal or other</w:t>
      </w:r>
    </w:p>
    <w:p>
      <w:pPr>
        <w:spacing w:after="0" w:line="1" w:lineRule="exact"/>
        <w:rPr>
          <w:sz w:val="20"/>
          <w:szCs w:val="20"/>
          <w:color w:val="auto"/>
        </w:rPr>
      </w:pPr>
    </w:p>
    <w:p>
      <w:pPr>
        <w:ind w:left="460"/>
        <w:spacing w:after="0" w:line="215" w:lineRule="auto"/>
        <w:rPr>
          <w:sz w:val="20"/>
          <w:szCs w:val="20"/>
          <w:color w:val="auto"/>
        </w:rPr>
      </w:pPr>
      <w:r>
        <w:rPr>
          <w:rFonts w:ascii="Times New Roman" w:cs="Times New Roman" w:eastAsia="Times New Roman" w:hAnsi="Times New Roman"/>
          <w:sz w:val="19"/>
          <w:szCs w:val="19"/>
          <w:color w:val="auto"/>
        </w:rPr>
        <w:t>similar rights to subscribe for or purchase securities of the Company. Except as summarized in the Registration Statement, the General Disclosure Package and the Prospectus, there are no authorized or outstanding options, warrants, preemptive rights, rights of</w:t>
      </w:r>
    </w:p>
    <w:p>
      <w:pPr>
        <w:ind w:left="460"/>
        <w:spacing w:after="0" w:line="211" w:lineRule="auto"/>
        <w:rPr>
          <w:sz w:val="20"/>
          <w:szCs w:val="20"/>
          <w:color w:val="auto"/>
        </w:rPr>
      </w:pPr>
      <w:r>
        <w:rPr>
          <w:rFonts w:ascii="Times New Roman" w:cs="Times New Roman" w:eastAsia="Times New Roman" w:hAnsi="Times New Roman"/>
          <w:sz w:val="20"/>
          <w:szCs w:val="20"/>
          <w:color w:val="auto"/>
        </w:rPr>
        <w:t>first refusal or other rights to purchase or subscribe for, or equity or debt securities convertible into or exchangeable or exercisable</w:t>
      </w:r>
    </w:p>
    <w:p>
      <w:pPr>
        <w:ind w:left="460"/>
        <w:spacing w:after="0" w:line="215" w:lineRule="auto"/>
        <w:rPr>
          <w:sz w:val="20"/>
          <w:szCs w:val="20"/>
          <w:color w:val="auto"/>
        </w:rPr>
      </w:pPr>
      <w:r>
        <w:rPr>
          <w:rFonts w:ascii="Times New Roman" w:cs="Times New Roman" w:eastAsia="Times New Roman" w:hAnsi="Times New Roman"/>
          <w:sz w:val="19"/>
          <w:szCs w:val="19"/>
          <w:color w:val="auto"/>
        </w:rPr>
        <w:t>for, any share capital of the Company or any of its Subsidiaries or to which the Company or any of its Subsidiaries is a party or by which any of them may be bound. The descriptions of the Company’s equity incentive plan, stock option plans and other stock plans</w:t>
      </w:r>
    </w:p>
    <w:p>
      <w:pPr>
        <w:ind w:left="460"/>
        <w:spacing w:after="0" w:line="211" w:lineRule="auto"/>
        <w:rPr>
          <w:sz w:val="20"/>
          <w:szCs w:val="20"/>
          <w:color w:val="auto"/>
        </w:rPr>
      </w:pPr>
      <w:r>
        <w:rPr>
          <w:rFonts w:ascii="Times New Roman" w:cs="Times New Roman" w:eastAsia="Times New Roman" w:hAnsi="Times New Roman"/>
          <w:sz w:val="20"/>
          <w:szCs w:val="20"/>
          <w:color w:val="auto"/>
        </w:rPr>
        <w:t>or arrangements described in the Prospectus and in effect as of the date hereof (collectively, the “</w:t>
      </w:r>
      <w:r>
        <w:rPr>
          <w:rFonts w:ascii="Times New Roman" w:cs="Times New Roman" w:eastAsia="Times New Roman" w:hAnsi="Times New Roman"/>
          <w:sz w:val="20"/>
          <w:szCs w:val="20"/>
          <w:u w:val="single" w:color="auto"/>
          <w:color w:val="auto"/>
        </w:rPr>
        <w:t>Stock Plans</w:t>
      </w:r>
      <w:r>
        <w:rPr>
          <w:rFonts w:ascii="Times New Roman" w:cs="Times New Roman" w:eastAsia="Times New Roman" w:hAnsi="Times New Roman"/>
          <w:sz w:val="20"/>
          <w:szCs w:val="20"/>
          <w:color w:val="auto"/>
        </w:rPr>
        <w:t>”) and the options or</w:t>
      </w:r>
    </w:p>
    <w:p>
      <w:pPr>
        <w:ind w:left="460"/>
        <w:spacing w:after="0" w:line="215" w:lineRule="auto"/>
        <w:rPr>
          <w:sz w:val="20"/>
          <w:szCs w:val="20"/>
          <w:color w:val="auto"/>
        </w:rPr>
      </w:pPr>
      <w:r>
        <w:rPr>
          <w:rFonts w:ascii="Times New Roman" w:cs="Times New Roman" w:eastAsia="Times New Roman" w:hAnsi="Times New Roman"/>
          <w:sz w:val="19"/>
          <w:szCs w:val="19"/>
          <w:color w:val="auto"/>
        </w:rPr>
        <w:t>other rights granted thereunder, set forth in the Registration Statement, the General Disclosure Package and the Prospectus accurately and fairly present the information required to be shown with respect to such Stock Plans and the options or other rights granted</w:t>
      </w:r>
    </w:p>
    <w:p>
      <w:pPr>
        <w:ind w:left="460"/>
        <w:spacing w:after="0"/>
        <w:rPr>
          <w:sz w:val="20"/>
          <w:szCs w:val="20"/>
          <w:color w:val="auto"/>
        </w:rPr>
      </w:pPr>
      <w:r>
        <w:rPr>
          <w:rFonts w:ascii="Times New Roman" w:cs="Times New Roman" w:eastAsia="Times New Roman" w:hAnsi="Times New Roman"/>
          <w:sz w:val="20"/>
          <w:szCs w:val="20"/>
          <w:color w:val="auto"/>
        </w:rPr>
        <w:t>thereunder.</w:t>
      </w:r>
    </w:p>
    <w:p>
      <w:pPr>
        <w:spacing w:after="0" w:line="153" w:lineRule="exact"/>
        <w:rPr>
          <w:sz w:val="20"/>
          <w:szCs w:val="20"/>
          <w:color w:val="auto"/>
        </w:rPr>
      </w:pPr>
    </w:p>
    <w:p>
      <w:pPr>
        <w:jc w:val="both"/>
        <w:ind w:left="460" w:firstLine="644"/>
        <w:spacing w:after="0" w:line="218" w:lineRule="auto"/>
        <w:tabs>
          <w:tab w:leader="none" w:pos="174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Agreement</w:t>
      </w:r>
      <w:r>
        <w:rPr>
          <w:rFonts w:ascii="Times New Roman" w:cs="Times New Roman" w:eastAsia="Times New Roman" w:hAnsi="Times New Roman"/>
          <w:sz w:val="20"/>
          <w:szCs w:val="20"/>
          <w:color w:val="auto"/>
        </w:rPr>
        <w:t>. 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and the Pre-Funded Warrants conform in all material respects to the descriptions thereof in the Registration Statement, the General Disclosure Package and the Prospectus.</w:t>
      </w:r>
    </w:p>
    <w:p>
      <w:pPr>
        <w:spacing w:after="0" w:line="150" w:lineRule="exact"/>
        <w:rPr>
          <w:rFonts w:ascii="Times New Roman" w:cs="Times New Roman" w:eastAsia="Times New Roman" w:hAnsi="Times New Roman"/>
          <w:sz w:val="20"/>
          <w:szCs w:val="20"/>
          <w:color w:val="auto"/>
        </w:rPr>
      </w:pPr>
    </w:p>
    <w:p>
      <w:pPr>
        <w:jc w:val="both"/>
        <w:ind w:left="460" w:firstLine="644"/>
        <w:spacing w:after="0" w:line="210" w:lineRule="auto"/>
        <w:tabs>
          <w:tab w:leader="none" w:pos="174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and Description of Securities</w:t>
      </w:r>
      <w:r>
        <w:rPr>
          <w:rFonts w:ascii="Times New Roman" w:cs="Times New Roman" w:eastAsia="Times New Roman" w:hAnsi="Times New Roman"/>
          <w:sz w:val="20"/>
          <w:szCs w:val="20"/>
          <w:color w:val="auto"/>
        </w:rPr>
        <w:t>. The Securities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Securities as contemplated hereby shall not be subject to any preemptive rights, rights of first refusal or other similar rights to subscribe for or purchase the Securities. When issued and delivered by the Company against payment therefor pursuant to this Agreement, the purchasers of the Securities issued and sold hereunder will acquire good, marketable and valid title to such Securities, free and clear of all pledges, liens, security interests, charges, claims or encumbrances. The issuance and sale of the Securities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rights, rights of first refusal or other similar rights to subscribe for or purchase the Warrant Shares. There are no restrictions upon the voting or transfer of the Common Stock under the Company’s amended and restated certificate of incorporation or amended and restated bylaws or any agreement or other instrument to which the Company is a party or otherwise filed as an exhibit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040"/>
          </w:cols>
          <w:pgMar w:left="520" w:top="1394" w:right="339" w:bottom="1440" w:gutter="0" w:footer="0" w:header="0"/>
        </w:sectPr>
      </w:pPr>
    </w:p>
    <w:bookmarkStart w:id="12" w:name="page13"/>
    <w:bookmarkEnd w:id="12"/>
    <w:p>
      <w:pPr>
        <w:jc w:val="both"/>
        <w:ind w:left="460" w:firstLine="644"/>
        <w:spacing w:after="0" w:line="222" w:lineRule="auto"/>
        <w:tabs>
          <w:tab w:leader="none" w:pos="174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w:t>
      </w:r>
      <w:r>
        <w:rPr>
          <w:rFonts w:ascii="Times New Roman" w:cs="Times New Roman" w:eastAsia="Times New Roman" w:hAnsi="Times New Roman"/>
          <w:sz w:val="20"/>
          <w:szCs w:val="20"/>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142" w:lineRule="exact"/>
        <w:rPr>
          <w:rFonts w:ascii="Times New Roman" w:cs="Times New Roman" w:eastAsia="Times New Roman" w:hAnsi="Times New Roman"/>
          <w:sz w:val="20"/>
          <w:szCs w:val="20"/>
          <w:color w:val="auto"/>
        </w:rPr>
      </w:pPr>
    </w:p>
    <w:p>
      <w:pPr>
        <w:ind w:left="1740" w:hanging="636"/>
        <w:spacing w:after="0"/>
        <w:tabs>
          <w:tab w:leader="none" w:pos="17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Violations, Defaults and Conflicts</w:t>
      </w:r>
      <w:r>
        <w:rPr>
          <w:rFonts w:ascii="Times New Roman" w:cs="Times New Roman" w:eastAsia="Times New Roman" w:hAnsi="Times New Roman"/>
          <w:sz w:val="20"/>
          <w:szCs w:val="20"/>
          <w:color w:val="auto"/>
        </w:rPr>
        <w:t>. Neither the Company nor any Subsidiary is in violation or default of</w:t>
      </w:r>
    </w:p>
    <w:p>
      <w:pPr>
        <w:ind w:left="720" w:hanging="264"/>
        <w:spacing w:after="0" w:line="21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its certificate or articles of incorporation, charter, bylaws, articles of association, limited liability company</w:t>
      </w:r>
    </w:p>
    <w:p>
      <w:pPr>
        <w:ind w:left="460"/>
        <w:spacing w:after="0" w:line="211" w:lineRule="auto"/>
        <w:rPr>
          <w:sz w:val="20"/>
          <w:szCs w:val="20"/>
          <w:color w:val="auto"/>
        </w:rPr>
      </w:pPr>
      <w:r>
        <w:rPr>
          <w:rFonts w:ascii="Times New Roman" w:cs="Times New Roman" w:eastAsia="Times New Roman" w:hAnsi="Times New Roman"/>
          <w:sz w:val="20"/>
          <w:szCs w:val="20"/>
          <w:color w:val="auto"/>
        </w:rPr>
        <w:t>agreement, certificate or agreement of limited or general partnership, or other similar organizational documents, as the case may be,</w:t>
      </w:r>
    </w:p>
    <w:p>
      <w:pPr>
        <w:spacing w:after="0" w:line="1" w:lineRule="exact"/>
        <w:rPr>
          <w:sz w:val="20"/>
          <w:szCs w:val="20"/>
          <w:color w:val="auto"/>
        </w:rPr>
      </w:pPr>
    </w:p>
    <w:p>
      <w:pPr>
        <w:jc w:val="both"/>
        <w:ind w:left="460" w:right="20"/>
        <w:spacing w:after="0" w:line="204" w:lineRule="auto"/>
        <w:rPr>
          <w:sz w:val="20"/>
          <w:szCs w:val="20"/>
          <w:color w:val="auto"/>
        </w:rPr>
      </w:pPr>
      <w:r>
        <w:rPr>
          <w:rFonts w:ascii="Times New Roman" w:cs="Times New Roman" w:eastAsia="Times New Roman" w:hAnsi="Times New Roman"/>
          <w:sz w:val="20"/>
          <w:szCs w:val="20"/>
          <w:color w:val="auto"/>
        </w:rPr>
        <w:t>of such entity, (ii) the terms of any indenture, contract, lease, mortgage, deed of trust, note agreement, loan agreement or other agreement, obligation, condition, covenant or instrument to which it is a party or bound or to which its property or assets is subject,</w:t>
      </w:r>
    </w:p>
    <w:p>
      <w:pPr>
        <w:ind w:left="460"/>
        <w:spacing w:after="0" w:line="211" w:lineRule="auto"/>
        <w:rPr>
          <w:sz w:val="20"/>
          <w:szCs w:val="20"/>
          <w:color w:val="auto"/>
        </w:rPr>
      </w:pPr>
      <w:r>
        <w:rPr>
          <w:rFonts w:ascii="Times New Roman" w:cs="Times New Roman" w:eastAsia="Times New Roman" w:hAnsi="Times New Roman"/>
          <w:sz w:val="20"/>
          <w:szCs w:val="20"/>
          <w:color w:val="auto"/>
        </w:rPr>
        <w:t>or (iii) any statute, law, rule, regulation, judgment, order or decree of any court, regulatory body, administrative agency,</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governmental body, arbitrator or other authority having jurisdiction over the Company, any of its Subsidiaries or any of their respective properties or assets, as applicable, except, in the case of clauses (ii) and (iii) above, for any such default or violation that</w:t>
      </w:r>
    </w:p>
    <w:p>
      <w:pPr>
        <w:ind w:left="460"/>
        <w:spacing w:after="0" w:line="211" w:lineRule="auto"/>
        <w:rPr>
          <w:sz w:val="20"/>
          <w:szCs w:val="20"/>
          <w:color w:val="auto"/>
        </w:rPr>
      </w:pPr>
      <w:r>
        <w:rPr>
          <w:rFonts w:ascii="Times New Roman" w:cs="Times New Roman" w:eastAsia="Times New Roman" w:hAnsi="Times New Roman"/>
          <w:sz w:val="20"/>
          <w:szCs w:val="20"/>
          <w:color w:val="auto"/>
        </w:rPr>
        <w:t>would not reasonably be expected, individually or in the aggregate, to have a Material Adverse Effect. Neither the execution and</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delivery by the Company of, nor the performance of the Company of its obligations under, this Agreement or the Pre-Funded Warrants will conflict with, result in a breach or violation of, or result in the creation or imposition of any lien, charge or</w:t>
      </w:r>
    </w:p>
    <w:p>
      <w:pPr>
        <w:ind w:left="460"/>
        <w:spacing w:after="0" w:line="223" w:lineRule="auto"/>
        <w:rPr>
          <w:sz w:val="20"/>
          <w:szCs w:val="20"/>
          <w:color w:val="auto"/>
        </w:rPr>
      </w:pPr>
      <w:r>
        <w:rPr>
          <w:rFonts w:ascii="Times New Roman" w:cs="Times New Roman" w:eastAsia="Times New Roman" w:hAnsi="Times New Roman"/>
          <w:sz w:val="19"/>
          <w:szCs w:val="19"/>
          <w:color w:val="auto"/>
        </w:rPr>
        <w:t>encumbrance upon any property or assets of the Company or any of its Subsidiaries pursuant to: (i) the certificate of incorporation or</w:t>
      </w:r>
    </w:p>
    <w:p>
      <w:pPr>
        <w:ind w:left="460"/>
        <w:spacing w:after="0" w:line="215" w:lineRule="auto"/>
        <w:rPr>
          <w:sz w:val="20"/>
          <w:szCs w:val="20"/>
          <w:color w:val="auto"/>
        </w:rPr>
      </w:pPr>
      <w:r>
        <w:rPr>
          <w:rFonts w:ascii="Times New Roman" w:cs="Times New Roman" w:eastAsia="Times New Roman" w:hAnsi="Times New Roman"/>
          <w:sz w:val="19"/>
          <w:szCs w:val="19"/>
          <w:color w:val="auto"/>
        </w:rPr>
        <w:t>bylaws of the Company, (ii) the terms of any indenture, contract, license, lease, mortgage, deed of trust, note agreement, agreement or other instrument, obligation, condition, covenant or instrument to which the Company is a party or bound or to which its property</w:t>
      </w:r>
    </w:p>
    <w:p>
      <w:pPr>
        <w:ind w:left="460"/>
        <w:spacing w:after="0" w:line="215" w:lineRule="auto"/>
        <w:rPr>
          <w:sz w:val="20"/>
          <w:szCs w:val="20"/>
          <w:color w:val="auto"/>
        </w:rPr>
      </w:pPr>
      <w:r>
        <w:rPr>
          <w:rFonts w:ascii="Times New Roman" w:cs="Times New Roman" w:eastAsia="Times New Roman" w:hAnsi="Times New Roman"/>
          <w:sz w:val="19"/>
          <w:szCs w:val="19"/>
          <w:color w:val="auto"/>
        </w:rPr>
        <w:t>or assets is subject or (iii) any statute, law, rule, regulation, judgment, order or decree applicable to the Company or any of its Subsidiaries of any court, regulatory body, administrative agency, governmental body, arbitrator or other authority having jurisdiction</w:t>
      </w:r>
    </w:p>
    <w:p>
      <w:pPr>
        <w:ind w:left="460"/>
        <w:spacing w:after="0" w:line="211" w:lineRule="auto"/>
        <w:rPr>
          <w:sz w:val="20"/>
          <w:szCs w:val="20"/>
          <w:color w:val="auto"/>
        </w:rPr>
      </w:pPr>
      <w:r>
        <w:rPr>
          <w:rFonts w:ascii="Times New Roman" w:cs="Times New Roman" w:eastAsia="Times New Roman" w:hAnsi="Times New Roman"/>
          <w:sz w:val="20"/>
          <w:szCs w:val="20"/>
          <w:color w:val="auto"/>
        </w:rPr>
        <w:t>over the Company, any of its Subsidiaries or any of their respective properties or assets, as applicable, except, in the case of clauses</w:t>
      </w:r>
    </w:p>
    <w:p>
      <w:pPr>
        <w:ind w:left="460" w:hanging="4"/>
        <w:spacing w:after="0" w:line="221" w:lineRule="auto"/>
        <w:tabs>
          <w:tab w:leader="none" w:pos="76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(iii) above, for any such conflict, breach, violation or default that would not reasonably be expected, individually or in the aggregate, to result in a Material Adverse Effect.</w:t>
      </w:r>
    </w:p>
    <w:p>
      <w:pPr>
        <w:spacing w:after="0" w:line="161" w:lineRule="exact"/>
        <w:rPr>
          <w:rFonts w:ascii="Times New Roman" w:cs="Times New Roman" w:eastAsia="Times New Roman" w:hAnsi="Times New Roman"/>
          <w:sz w:val="20"/>
          <w:szCs w:val="20"/>
          <w:color w:val="auto"/>
        </w:rPr>
      </w:pPr>
    </w:p>
    <w:p>
      <w:pPr>
        <w:ind w:left="460" w:right="20" w:firstLine="644"/>
        <w:spacing w:after="0"/>
        <w:tabs>
          <w:tab w:leader="none" w:pos="175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Listing</w:t>
      </w:r>
      <w:r>
        <w:rPr>
          <w:rFonts w:ascii="Times New Roman" w:cs="Times New Roman" w:eastAsia="Times New Roman" w:hAnsi="Times New Roman"/>
          <w:sz w:val="20"/>
          <w:szCs w:val="20"/>
          <w:color w:val="auto"/>
        </w:rPr>
        <w:t>. The Common Stock (including the Shares and Warrant Shares) have been approved for listing on the Nasdaq Global Market, subject to notice of issuance.</w:t>
      </w:r>
    </w:p>
    <w:p>
      <w:pPr>
        <w:spacing w:after="0" w:line="147" w:lineRule="exact"/>
        <w:rPr>
          <w:rFonts w:ascii="Times New Roman" w:cs="Times New Roman" w:eastAsia="Times New Roman" w:hAnsi="Times New Roman"/>
          <w:sz w:val="20"/>
          <w:szCs w:val="20"/>
          <w:color w:val="auto"/>
        </w:rPr>
      </w:pPr>
    </w:p>
    <w:p>
      <w:pPr>
        <w:jc w:val="both"/>
        <w:ind w:left="460" w:firstLine="644"/>
        <w:spacing w:after="0" w:line="214" w:lineRule="auto"/>
        <w:tabs>
          <w:tab w:leader="none" w:pos="1751"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Labor Dispute</w:t>
      </w:r>
      <w:r>
        <w:rPr>
          <w:rFonts w:ascii="Times New Roman" w:cs="Times New Roman" w:eastAsia="Times New Roman" w:hAnsi="Times New Roman"/>
          <w:sz w:val="20"/>
          <w:szCs w:val="20"/>
          <w:color w:val="auto"/>
        </w:rPr>
        <w:t>. 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reasonably be expected to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52" w:lineRule="exact"/>
        <w:rPr>
          <w:rFonts w:ascii="Times New Roman" w:cs="Times New Roman" w:eastAsia="Times New Roman" w:hAnsi="Times New Roman"/>
          <w:sz w:val="20"/>
          <w:szCs w:val="20"/>
          <w:color w:val="auto"/>
        </w:rPr>
      </w:pPr>
    </w:p>
    <w:p>
      <w:pPr>
        <w:jc w:val="both"/>
        <w:ind w:left="460" w:firstLine="644"/>
        <w:spacing w:after="0" w:line="215" w:lineRule="auto"/>
        <w:tabs>
          <w:tab w:leader="none" w:pos="1749"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Proceedings</w:t>
      </w:r>
      <w:r>
        <w:rPr>
          <w:rFonts w:ascii="Times New Roman" w:cs="Times New Roman" w:eastAsia="Times New Roman" w:hAnsi="Times New Roman"/>
          <w:sz w:val="20"/>
          <w:szCs w:val="20"/>
          <w:color w:val="auto"/>
        </w:rPr>
        <w:t>. Except as disclosed in the Registration Statement, the General Disclosure Package and the Prospectus, 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the General Disclosure Package or the Prospectus and are not so described, (ii) could reasonably be expected to have a Material Adverse Effect on the 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40"/>
          </w:cols>
          <w:pgMar w:left="520" w:top="1399" w:right="339"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20"/>
          <w:szCs w:val="20"/>
          <w:color w:val="auto"/>
        </w:rPr>
        <w:t>the Company to perform its obligations under this Agreement or the Pre-Funded Warrants or on the consummation of any of the</w:t>
      </w:r>
    </w:p>
    <w:p>
      <w:pPr>
        <w:ind w:left="460"/>
        <w:spacing w:after="0" w:line="204" w:lineRule="auto"/>
        <w:rPr>
          <w:sz w:val="20"/>
          <w:szCs w:val="20"/>
          <w:color w:val="auto"/>
        </w:rPr>
      </w:pPr>
      <w:r>
        <w:rPr>
          <w:rFonts w:ascii="Times New Roman" w:cs="Times New Roman" w:eastAsia="Times New Roman" w:hAnsi="Times New Roman"/>
          <w:sz w:val="20"/>
          <w:szCs w:val="20"/>
          <w:color w:val="auto"/>
        </w:rPr>
        <w:t>transactions contemplated hereby or (iii) could reasonably be expected to have a Material Adverse Effect. The aggregate of all pending legal or governmental proceedings to which the Company or any of its Subsidiaries is a party or of which any of their</w:t>
      </w:r>
    </w:p>
    <w:p>
      <w:pPr>
        <w:ind w:left="460"/>
        <w:spacing w:after="0" w:line="223" w:lineRule="auto"/>
        <w:rPr>
          <w:sz w:val="20"/>
          <w:szCs w:val="20"/>
          <w:color w:val="auto"/>
        </w:rPr>
      </w:pPr>
      <w:r>
        <w:rPr>
          <w:rFonts w:ascii="Times New Roman" w:cs="Times New Roman" w:eastAsia="Times New Roman" w:hAnsi="Times New Roman"/>
          <w:sz w:val="19"/>
          <w:szCs w:val="19"/>
          <w:color w:val="auto"/>
        </w:rPr>
        <w:t>respective properties or assets is the subject which are not described in the Prospectus, including ordinary routine litigation incidental</w:t>
      </w:r>
    </w:p>
    <w:p>
      <w:pPr>
        <w:ind w:left="460"/>
        <w:spacing w:after="0" w:line="204" w:lineRule="auto"/>
        <w:rPr>
          <w:sz w:val="20"/>
          <w:szCs w:val="20"/>
          <w:color w:val="auto"/>
        </w:rPr>
      </w:pPr>
      <w:r>
        <w:rPr>
          <w:rFonts w:ascii="Times New Roman" w:cs="Times New Roman" w:eastAsia="Times New Roman" w:hAnsi="Times New Roman"/>
          <w:sz w:val="20"/>
          <w:szCs w:val="20"/>
          <w:color w:val="auto"/>
        </w:rPr>
        <w:t>to the Company’s business, could not reasonably be expected to (A) result in a Material Adverse Effect or (B) have a Material Adverse Effect on the ability of the Company to perform its obligations under this Agreement or the Pre-Funded Warrants or the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consummation of any of the transactions contemplated hereby.</w:t>
      </w:r>
    </w:p>
    <w:p>
      <w:pPr>
        <w:spacing w:after="0" w:line="167" w:lineRule="exact"/>
        <w:rPr>
          <w:sz w:val="20"/>
          <w:szCs w:val="20"/>
          <w:color w:val="auto"/>
        </w:rPr>
      </w:pPr>
    </w:p>
    <w:p>
      <w:pPr>
        <w:jc w:val="both"/>
        <w:ind w:left="460" w:firstLine="644"/>
        <w:spacing w:after="0" w:line="226" w:lineRule="auto"/>
        <w:tabs>
          <w:tab w:leader="none" w:pos="17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Accuracy of Exhibits</w:t>
      </w:r>
      <w:r>
        <w:rPr>
          <w:rFonts w:ascii="Times New Roman" w:cs="Times New Roman" w:eastAsia="Times New Roman" w:hAnsi="Times New Roman"/>
          <w:sz w:val="20"/>
          <w:szCs w:val="20"/>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60" w:lineRule="exact"/>
        <w:rPr>
          <w:rFonts w:ascii="Times New Roman" w:cs="Times New Roman" w:eastAsia="Times New Roman" w:hAnsi="Times New Roman"/>
          <w:sz w:val="20"/>
          <w:szCs w:val="20"/>
          <w:color w:val="auto"/>
        </w:rPr>
      </w:pPr>
    </w:p>
    <w:p>
      <w:pPr>
        <w:jc w:val="both"/>
        <w:ind w:left="460" w:firstLine="644"/>
        <w:spacing w:after="0" w:line="215" w:lineRule="auto"/>
        <w:tabs>
          <w:tab w:leader="none" w:pos="174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Further Requirements</w:t>
      </w:r>
      <w:r>
        <w:rPr>
          <w:rFonts w:ascii="Times New Roman" w:cs="Times New Roman" w:eastAsia="Times New Roman" w:hAnsi="Times New Roman"/>
          <w:sz w:val="20"/>
          <w:szCs w:val="20"/>
          <w:color w:val="auto"/>
        </w:rPr>
        <w:t>. 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the Pre-Funded Warrants or consummation of the transactions contemplated hereby or by the Registration Statement, the General Disclosure Package and the Prospectus (including the issuance and sale of the Securities hereunder), except such as have been already obtained or made or as may be required under the 1933 Act, applicable state securities or Blue Sky laws, applicable rules of Nasdaq, or Rule 5110 of the Financial Industry Regulatory Authority, Inc. (“</w:t>
      </w:r>
      <w:r>
        <w:rPr>
          <w:rFonts w:ascii="Times New Roman" w:cs="Times New Roman" w:eastAsia="Times New Roman" w:hAnsi="Times New Roman"/>
          <w:sz w:val="20"/>
          <w:szCs w:val="20"/>
          <w:u w:val="single" w:color="auto"/>
          <w:color w:val="auto"/>
        </w:rPr>
        <w:t>FINRA</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auto"/>
        </w:rPr>
      </w:pPr>
    </w:p>
    <w:p>
      <w:pPr>
        <w:jc w:val="both"/>
        <w:ind w:left="460" w:firstLine="644"/>
        <w:spacing w:after="0" w:line="213" w:lineRule="auto"/>
        <w:tabs>
          <w:tab w:leader="none" w:pos="175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Possession of Licenses and Permits</w:t>
      </w:r>
      <w:r>
        <w:rPr>
          <w:rFonts w:ascii="Times New Roman" w:cs="Times New Roman" w:eastAsia="Times New Roman" w:hAnsi="Times New Roman"/>
          <w:sz w:val="20"/>
          <w:szCs w:val="20"/>
          <w:color w:val="auto"/>
        </w:rPr>
        <w:t>. The Company and its Subsidiaries possess and are operating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the General Disclosure Package and the Prospectus (collectively,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except where failure to obtain such certificates, authorizations and permits would not, singly or in the aggregate, reasonably be expected to have a Material Adverse Effect. Neither the Company nor any of its Subsidiaries is in violation of, or in default under, any of the Permits or has received any written notice of proceedings relating to the revocation or modification of, or non-compliance with, any such certificate, authorization or permit, which would, individually or in the aggregate, if the subject of an unfavorable decision, ruling or finding, reasonably be expected to result in a Material Adverse Effect.</w:t>
      </w:r>
    </w:p>
    <w:p>
      <w:pPr>
        <w:spacing w:after="0" w:line="161" w:lineRule="exact"/>
        <w:rPr>
          <w:rFonts w:ascii="Times New Roman" w:cs="Times New Roman" w:eastAsia="Times New Roman" w:hAnsi="Times New Roman"/>
          <w:sz w:val="20"/>
          <w:szCs w:val="20"/>
          <w:color w:val="auto"/>
        </w:rPr>
      </w:pPr>
    </w:p>
    <w:p>
      <w:pPr>
        <w:jc w:val="both"/>
        <w:ind w:left="460" w:firstLine="644"/>
        <w:spacing w:after="0" w:line="211" w:lineRule="auto"/>
        <w:tabs>
          <w:tab w:leader="none" w:pos="175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to Property</w:t>
      </w:r>
      <w:r>
        <w:rPr>
          <w:rFonts w:ascii="Times New Roman" w:cs="Times New Roman" w:eastAsia="Times New Roman" w:hAnsi="Times New Roman"/>
          <w:sz w:val="20"/>
          <w:szCs w:val="20"/>
          <w:color w:val="auto"/>
        </w:rPr>
        <w:t>. The Company and each of its Subsidiaries has good and marketable title in fee simple to all real property owned by them and good and marketable title to all personal property owned by them that is material to their business (except with respect to intellectual property, which is addressed exclusively in Section 1(a)(xxiv) below),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interfere with the use made and proposed to be made of such property and buildings by the Company or such Subsidiary.</w:t>
      </w:r>
    </w:p>
    <w:p>
      <w:pPr>
        <w:spacing w:after="0" w:line="165" w:lineRule="exact"/>
        <w:rPr>
          <w:rFonts w:ascii="Times New Roman" w:cs="Times New Roman" w:eastAsia="Times New Roman" w:hAnsi="Times New Roman"/>
          <w:sz w:val="20"/>
          <w:szCs w:val="20"/>
          <w:color w:val="auto"/>
        </w:rPr>
      </w:pPr>
    </w:p>
    <w:p>
      <w:pPr>
        <w:jc w:val="both"/>
        <w:ind w:left="460" w:firstLine="644"/>
        <w:spacing w:after="0" w:line="226" w:lineRule="auto"/>
        <w:tabs>
          <w:tab w:leader="none" w:pos="175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to Intellectual Property</w:t>
      </w:r>
      <w:r>
        <w:rPr>
          <w:rFonts w:ascii="Times New Roman" w:cs="Times New Roman" w:eastAsia="Times New Roman" w:hAnsi="Times New Roman"/>
          <w:sz w:val="20"/>
          <w:szCs w:val="20"/>
          <w:color w:val="auto"/>
        </w:rPr>
        <w:t>. The Company and its Subsidiaries own or possess the right to use all inventions, patent applications, patents, trademarks, trade names, service names, domain names, copyrights, trade secrets, know-how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040"/>
          </w:cols>
          <w:pgMar w:left="520" w:top="1394" w:right="339"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20"/>
          <w:szCs w:val="20"/>
          <w:color w:val="auto"/>
        </w:rPr>
        <w:t>(collectively,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as are (i) necessary or material for the conduct of their respective businesses as currently</w:t>
      </w:r>
    </w:p>
    <w:p>
      <w:pPr>
        <w:jc w:val="both"/>
        <w:ind w:left="460"/>
        <w:spacing w:after="0" w:line="204" w:lineRule="auto"/>
        <w:rPr>
          <w:sz w:val="20"/>
          <w:szCs w:val="20"/>
          <w:color w:val="auto"/>
        </w:rPr>
      </w:pPr>
      <w:r>
        <w:rPr>
          <w:rFonts w:ascii="Times New Roman" w:cs="Times New Roman" w:eastAsia="Times New Roman" w:hAnsi="Times New Roman"/>
          <w:sz w:val="20"/>
          <w:szCs w:val="20"/>
          <w:color w:val="auto"/>
        </w:rPr>
        <w:t>conducted or as currently proposed to be conducted and as described in the Registration Statement, the General Disclosure Package and the Prospectus and (ii) necessary or material for the commercialization of the products described in the Registration Statement,</w:t>
      </w:r>
    </w:p>
    <w:p>
      <w:pPr>
        <w:ind w:left="460"/>
        <w:spacing w:after="0" w:line="211" w:lineRule="auto"/>
        <w:rPr>
          <w:sz w:val="20"/>
          <w:szCs w:val="20"/>
          <w:color w:val="auto"/>
        </w:rPr>
      </w:pPr>
      <w:r>
        <w:rPr>
          <w:rFonts w:ascii="Times New Roman" w:cs="Times New Roman" w:eastAsia="Times New Roman" w:hAnsi="Times New Roman"/>
          <w:sz w:val="20"/>
          <w:szCs w:val="20"/>
          <w:color w:val="auto"/>
        </w:rPr>
        <w:t>the General Disclosure Package and the Prospectus as being under development. There is no pending or, to the Company’s</w:t>
      </w:r>
    </w:p>
    <w:p>
      <w:pPr>
        <w:spacing w:after="0" w:line="1" w:lineRule="exact"/>
        <w:rPr>
          <w:sz w:val="20"/>
          <w:szCs w:val="20"/>
          <w:color w:val="auto"/>
        </w:rPr>
      </w:pPr>
    </w:p>
    <w:p>
      <w:pPr>
        <w:ind w:left="460"/>
        <w:spacing w:after="0" w:line="215" w:lineRule="auto"/>
        <w:rPr>
          <w:sz w:val="20"/>
          <w:szCs w:val="20"/>
          <w:color w:val="auto"/>
        </w:rPr>
      </w:pPr>
      <w:r>
        <w:rPr>
          <w:rFonts w:ascii="Times New Roman" w:cs="Times New Roman" w:eastAsia="Times New Roman" w:hAnsi="Times New Roman"/>
          <w:sz w:val="19"/>
          <w:szCs w:val="19"/>
          <w:color w:val="auto"/>
        </w:rPr>
        <w:t>knowledge, threatened (i) action, suit, proceeding, or claim by others challenging the rights of the Company or any of its Subsidiaries in or to any such Intellectual Property that, if decided adversely to the Company or such Subsidiary would, individually or in the</w:t>
      </w:r>
    </w:p>
    <w:p>
      <w:pPr>
        <w:ind w:left="460"/>
        <w:spacing w:after="0" w:line="211" w:lineRule="auto"/>
        <w:rPr>
          <w:sz w:val="20"/>
          <w:szCs w:val="20"/>
          <w:color w:val="auto"/>
        </w:rPr>
      </w:pPr>
      <w:r>
        <w:rPr>
          <w:rFonts w:ascii="Times New Roman" w:cs="Times New Roman" w:eastAsia="Times New Roman" w:hAnsi="Times New Roman"/>
          <w:sz w:val="20"/>
          <w:szCs w:val="20"/>
          <w:color w:val="auto"/>
        </w:rPr>
        <w:t>aggregate, have a Material Adverse Effect, and the Company is unaware of any facts which would form a reasonable basis for any</w:t>
      </w:r>
    </w:p>
    <w:p>
      <w:pPr>
        <w:jc w:val="both"/>
        <w:ind w:left="460" w:right="20"/>
        <w:spacing w:after="0" w:line="204" w:lineRule="auto"/>
        <w:rPr>
          <w:sz w:val="20"/>
          <w:szCs w:val="20"/>
          <w:color w:val="auto"/>
        </w:rPr>
      </w:pPr>
      <w:r>
        <w:rPr>
          <w:rFonts w:ascii="Times New Roman" w:cs="Times New Roman" w:eastAsia="Times New Roman" w:hAnsi="Times New Roman"/>
          <w:sz w:val="20"/>
          <w:szCs w:val="20"/>
          <w:color w:val="auto"/>
        </w:rPr>
        <w:t>such claim; (ii) action, suit, proceeding, or claim by others that the Company or any of its Subsidiaries infringes, misappropriates, or otherwise violates any Intellectual Property of others that, if decided adversely to the Company or such Subsidiary would,</w:t>
      </w:r>
    </w:p>
    <w:p>
      <w:pPr>
        <w:ind w:left="460"/>
        <w:spacing w:after="0" w:line="211" w:lineRule="auto"/>
        <w:rPr>
          <w:sz w:val="20"/>
          <w:szCs w:val="20"/>
          <w:color w:val="auto"/>
        </w:rPr>
      </w:pPr>
      <w:r>
        <w:rPr>
          <w:rFonts w:ascii="Times New Roman" w:cs="Times New Roman" w:eastAsia="Times New Roman" w:hAnsi="Times New Roman"/>
          <w:sz w:val="20"/>
          <w:szCs w:val="20"/>
          <w:color w:val="auto"/>
        </w:rPr>
        <w:t>individually or in the aggregate, have a Material Adverse Effect, and the Company is unaware of any facts which would form a</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reasonable basis for any such claim; or (iii) action, suit, proceeding, or claim by others challenging the validity, scope, or enforceability of any such Intellectual Property owned or licensed by the Company or its Subsidiaries and the Company is unaware</w:t>
      </w:r>
    </w:p>
    <w:p>
      <w:pPr>
        <w:ind w:left="460"/>
        <w:spacing w:after="0" w:line="211" w:lineRule="auto"/>
        <w:rPr>
          <w:sz w:val="20"/>
          <w:szCs w:val="20"/>
          <w:color w:val="auto"/>
        </w:rPr>
      </w:pPr>
      <w:r>
        <w:rPr>
          <w:rFonts w:ascii="Times New Roman" w:cs="Times New Roman" w:eastAsia="Times New Roman" w:hAnsi="Times New Roman"/>
          <w:sz w:val="20"/>
          <w:szCs w:val="20"/>
          <w:color w:val="auto"/>
        </w:rPr>
        <w:t>of any facts which would form a reasonable basis for any such claim. To the best of the Company’s knowledge, the operation of the</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business of the Company and its Subsidiaries as now conducted, and as described in the Prospectus, and in connection with the development and commercialization of the products described in the Prospectus does not infringe, misappropriate, conflict with or</w:t>
      </w:r>
    </w:p>
    <w:p>
      <w:pPr>
        <w:ind w:left="460"/>
        <w:spacing w:after="0" w:line="223" w:lineRule="auto"/>
        <w:rPr>
          <w:sz w:val="20"/>
          <w:szCs w:val="20"/>
          <w:color w:val="auto"/>
        </w:rPr>
      </w:pPr>
      <w:r>
        <w:rPr>
          <w:rFonts w:ascii="Times New Roman" w:cs="Times New Roman" w:eastAsia="Times New Roman" w:hAnsi="Times New Roman"/>
          <w:sz w:val="19"/>
          <w:szCs w:val="19"/>
          <w:color w:val="auto"/>
        </w:rPr>
        <w:t>otherwise violate any claim of any granted patent of any other person or entity. There is no prior art of which the Company or any of</w:t>
      </w:r>
    </w:p>
    <w:p>
      <w:pPr>
        <w:ind w:left="460"/>
        <w:spacing w:after="0" w:line="204" w:lineRule="auto"/>
        <w:rPr>
          <w:sz w:val="20"/>
          <w:szCs w:val="20"/>
          <w:color w:val="auto"/>
        </w:rPr>
      </w:pPr>
      <w:r>
        <w:rPr>
          <w:rFonts w:ascii="Times New Roman" w:cs="Times New Roman" w:eastAsia="Times New Roman" w:hAnsi="Times New Roman"/>
          <w:sz w:val="20"/>
          <w:szCs w:val="20"/>
          <w:color w:val="auto"/>
        </w:rPr>
        <w:t>its Subsidiaries is aware that may render any patent owned or licensed by the Company or its Subsidiaries invalid or any patent application owned or licensed by the Company or its Subsidiaries unpatentable which has not been disclosed to the applicable</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government patent office. The Company’s granted or issued patents, registered trademarks and registered copyrights have been duly maintained and are in full force and effect, and none of the patents, trademarks and copyrights have been adjudged invalid or</w:t>
      </w:r>
    </w:p>
    <w:p>
      <w:pPr>
        <w:ind w:left="460"/>
        <w:spacing w:after="0" w:line="211" w:lineRule="auto"/>
        <w:rPr>
          <w:sz w:val="20"/>
          <w:szCs w:val="20"/>
          <w:color w:val="auto"/>
        </w:rPr>
      </w:pPr>
      <w:r>
        <w:rPr>
          <w:rFonts w:ascii="Times New Roman" w:cs="Times New Roman" w:eastAsia="Times New Roman" w:hAnsi="Times New Roman"/>
          <w:sz w:val="20"/>
          <w:szCs w:val="20"/>
          <w:color w:val="auto"/>
        </w:rPr>
        <w:t>unenforceable in whole or in part. The Company knows of no infringement, misappropriation or violation by others of any</w:t>
      </w:r>
    </w:p>
    <w:p>
      <w:pPr>
        <w:spacing w:after="0" w:line="1" w:lineRule="exact"/>
        <w:rPr>
          <w:sz w:val="20"/>
          <w:szCs w:val="20"/>
          <w:color w:val="auto"/>
        </w:rPr>
      </w:pPr>
    </w:p>
    <w:p>
      <w:pPr>
        <w:ind w:left="460"/>
        <w:spacing w:after="0" w:line="221" w:lineRule="auto"/>
        <w:rPr>
          <w:sz w:val="20"/>
          <w:szCs w:val="20"/>
          <w:color w:val="auto"/>
        </w:rPr>
      </w:pPr>
      <w:r>
        <w:rPr>
          <w:rFonts w:ascii="Times New Roman" w:cs="Times New Roman" w:eastAsia="Times New Roman" w:hAnsi="Times New Roman"/>
          <w:sz w:val="20"/>
          <w:szCs w:val="20"/>
          <w:color w:val="auto"/>
        </w:rPr>
        <w:t>Intellectual Property owned or licensed by the Company or its Subsidiaries which would reasonably be expected to have a Material Adverse Effect.</w:t>
      </w:r>
    </w:p>
    <w:p>
      <w:pPr>
        <w:spacing w:after="0" w:line="175" w:lineRule="exact"/>
        <w:rPr>
          <w:sz w:val="20"/>
          <w:szCs w:val="20"/>
          <w:color w:val="auto"/>
        </w:rPr>
      </w:pPr>
    </w:p>
    <w:p>
      <w:pPr>
        <w:jc w:val="both"/>
        <w:ind w:left="460" w:hanging="4"/>
        <w:spacing w:after="0" w:line="250" w:lineRule="auto"/>
        <w:tabs>
          <w:tab w:leader="none" w:pos="11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a party to or bound by any options, licenses or agreements with respect to the Intellectual Property of any other person or entity that are required to be set forth in the Prospectus and that are not described therein in all material respects. The Company and its Subsidiaries have taken all reasonable steps necessary to secure their interests in the Intellectual Property of the Company and its Subsidiaries from their employees and contractors and to protect the confidentiality of all of their confidential information and trade secrets. None of the technology or intellectual property used by the Company and its Subsidiaries in its business has been obtained or is being used by the Company or its Subsidiaries in violation of any contractual obligation binding on the Company or its Subsidiaries, or, to the Company’s knowledge, any of its officers, directors or employees or otherwise in violation of the rights of any persons. No third party has been granted by the Company or its Subsidiaries rights to the Intellectual Property of the Company or its Subsidiaries, including any rights that, if exercised, could enable such party to develop products competitive to those of the Company as described in the Registration Statement, the General Disclosure Package and the Prospectus. All Intellectual Property owned or exclusively licensed by the Company or its Subsidiaries are free and clear of all liens, encumbrances, defects or other restrictions (other than non-exclusive licenses granted in the ordinary course of business), except those that could not reasonably be expected, individually or in the aggregate, to have a Material Adverse Effect.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materially restricts or impairs their use of any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040"/>
          </w:cols>
          <w:pgMar w:left="520" w:top="1394" w:right="339" w:bottom="1440" w:gutter="0" w:footer="0" w:header="0"/>
        </w:sectPr>
      </w:pPr>
    </w:p>
    <w:bookmarkStart w:id="15" w:name="page16"/>
    <w:bookmarkEnd w:id="15"/>
    <w:p>
      <w:pPr>
        <w:jc w:val="both"/>
        <w:ind w:left="460" w:firstLine="644"/>
        <w:spacing w:after="0" w:line="209" w:lineRule="auto"/>
        <w:tabs>
          <w:tab w:leader="none" w:pos="175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Patents and Patent Applications</w:t>
      </w:r>
      <w:r>
        <w:rPr>
          <w:rFonts w:ascii="Times New Roman" w:cs="Times New Roman" w:eastAsia="Times New Roman" w:hAnsi="Times New Roman"/>
          <w:sz w:val="20"/>
          <w:szCs w:val="20"/>
          <w:color w:val="auto"/>
        </w:rPr>
        <w:t>. The Company has duly and properly filed or caused to be filed with the U.S. Patent and Trademark Office (the “</w:t>
      </w:r>
      <w:r>
        <w:rPr>
          <w:rFonts w:ascii="Times New Roman" w:cs="Times New Roman" w:eastAsia="Times New Roman" w:hAnsi="Times New Roman"/>
          <w:sz w:val="20"/>
          <w:szCs w:val="20"/>
          <w:u w:val="single" w:color="auto"/>
          <w:color w:val="auto"/>
        </w:rPr>
        <w:t>PTO</w:t>
      </w:r>
      <w:r>
        <w:rPr>
          <w:rFonts w:ascii="Times New Roman" w:cs="Times New Roman" w:eastAsia="Times New Roman" w:hAnsi="Times New Roman"/>
          <w:sz w:val="20"/>
          <w:szCs w:val="20"/>
          <w:color w:val="auto"/>
        </w:rPr>
        <w:t>”) and applicable foreign and international patent and trademark authorities all patents, trademarks, copyrights and applications relating to the same owned by the Company and its Subsidiaries (the “</w:t>
      </w:r>
      <w:r>
        <w:rPr>
          <w:rFonts w:ascii="Times New Roman" w:cs="Times New Roman" w:eastAsia="Times New Roman" w:hAnsi="Times New Roman"/>
          <w:sz w:val="20"/>
          <w:szCs w:val="20"/>
          <w:u w:val="single" w:color="auto"/>
          <w:color w:val="auto"/>
        </w:rPr>
        <w:t>Company Patent and Trademark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Applications</w:t>
      </w:r>
      <w:r>
        <w:rPr>
          <w:rFonts w:ascii="Times New Roman" w:cs="Times New Roman" w:eastAsia="Times New Roman" w:hAnsi="Times New Roman"/>
          <w:sz w:val="20"/>
          <w:szCs w:val="20"/>
          <w:color w:val="auto"/>
        </w:rPr>
        <w:t>”), except where failure to file would not, singly or in the aggregate, reasonably be expected to have a Material Adverse Effect. To the knowledge of the Company, the Company has complied with the PTO’s duty of candor and disclosure for the Company Patent and 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have a Material Adverse Effect, neither the Company nor any of its Subsidiaries has breached or is currently in breach of any provision of any license, contract or other agreement governing the use by the Company or its Subsidiaries of Intellectual Property owned by third parties (collectively, the “</w:t>
      </w:r>
      <w:r>
        <w:rPr>
          <w:rFonts w:ascii="Times New Roman" w:cs="Times New Roman" w:eastAsia="Times New Roman" w:hAnsi="Times New Roman"/>
          <w:sz w:val="20"/>
          <w:szCs w:val="20"/>
          <w:u w:val="single" w:color="auto"/>
          <w:color w:val="auto"/>
        </w:rPr>
        <w:t>Licenses</w:t>
      </w:r>
      <w:r>
        <w:rPr>
          <w:rFonts w:ascii="Times New Roman" w:cs="Times New Roman" w:eastAsia="Times New Roman" w:hAnsi="Times New Roman"/>
          <w:sz w:val="20"/>
          <w:szCs w:val="20"/>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all patent applications licensed to the Company pursuant to the Licenses are being duly prosecuted.</w:t>
      </w:r>
    </w:p>
    <w:p>
      <w:pPr>
        <w:spacing w:after="0" w:line="168" w:lineRule="exact"/>
        <w:rPr>
          <w:rFonts w:ascii="Times New Roman" w:cs="Times New Roman" w:eastAsia="Times New Roman" w:hAnsi="Times New Roman"/>
          <w:sz w:val="20"/>
          <w:szCs w:val="20"/>
          <w:color w:val="auto"/>
        </w:rPr>
      </w:pPr>
    </w:p>
    <w:p>
      <w:pPr>
        <w:jc w:val="both"/>
        <w:ind w:left="460" w:firstLine="644"/>
        <w:spacing w:after="0" w:line="209" w:lineRule="auto"/>
        <w:tabs>
          <w:tab w:leader="none" w:pos="175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FDA Compliance</w:t>
      </w:r>
      <w:r>
        <w:rPr>
          <w:rFonts w:ascii="Times New Roman" w:cs="Times New Roman" w:eastAsia="Times New Roman" w:hAnsi="Times New Roman"/>
          <w:sz w:val="20"/>
          <w:szCs w:val="20"/>
          <w:color w:val="auto"/>
        </w:rPr>
        <w:t>. The Company and each of its Subsidiaries (i) are and have at all times been in full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European Medicines Agency (“</w:t>
      </w:r>
      <w:r>
        <w:rPr>
          <w:rFonts w:ascii="Times New Roman" w:cs="Times New Roman" w:eastAsia="Times New Roman" w:hAnsi="Times New Roman"/>
          <w:sz w:val="20"/>
          <w:szCs w:val="20"/>
          <w:u w:val="single" w:color="auto"/>
          <w:color w:val="auto"/>
        </w:rPr>
        <w:t>EMA</w:t>
      </w:r>
      <w:r>
        <w:rPr>
          <w:rFonts w:ascii="Times New Roman" w:cs="Times New Roman" w:eastAsia="Times New Roman" w:hAnsi="Times New Roman"/>
          <w:sz w:val="20"/>
          <w:szCs w:val="20"/>
          <w:color w:val="auto"/>
        </w:rPr>
        <w:t>”) and any local or other governmental or regulatory authority performing functions similar to those performed by the FDA or EMA) (collectively, “</w:t>
      </w:r>
      <w:r>
        <w:rPr>
          <w:rFonts w:ascii="Times New Roman" w:cs="Times New Roman" w:eastAsia="Times New Roman" w:hAnsi="Times New Roman"/>
          <w:sz w:val="20"/>
          <w:szCs w:val="20"/>
          <w:u w:val="single" w:color="auto"/>
          <w:color w:val="auto"/>
        </w:rPr>
        <w:t>Applicable Laws</w:t>
      </w:r>
      <w:r>
        <w:rPr>
          <w:rFonts w:ascii="Times New Roman" w:cs="Times New Roman" w:eastAsia="Times New Roman" w:hAnsi="Times New Roman"/>
          <w:sz w:val="20"/>
          <w:szCs w:val="20"/>
          <w:color w:val="auto"/>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Times New Roman" w:cs="Times New Roman" w:eastAsia="Times New Roman" w:hAnsi="Times New Roman"/>
          <w:sz w:val="20"/>
          <w:szCs w:val="20"/>
          <w:u w:val="single" w:color="auto"/>
          <w:color w:val="auto"/>
        </w:rPr>
        <w:t>Governmental Permits</w:t>
      </w:r>
      <w:r>
        <w:rPr>
          <w:rFonts w:ascii="Times New Roman" w:cs="Times New Roman" w:eastAsia="Times New Roman" w:hAnsi="Times New Roman"/>
          <w:sz w:val="20"/>
          <w:szCs w:val="20"/>
          <w:color w:val="auto"/>
        </w:rPr>
        <w:t>”), (iii) have made all filings with, the appropriate local, or other governmental or regulatory agencies or bodies that are necessary for the ownership or lease of their respective properties or the conduct of their respective businesses as described in the Registration Statement, the General Disclosure Package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the General Disclosure Package and the Prospectus, and such Governmental Permits are valid and in full force and effect and are not in violation of any term of any such Governmental Permits, (v) have filed, obtained, maintained or submitted all material reports, documents, forms, notices, applications, 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 date filed (or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040"/>
          </w:cols>
          <w:pgMar w:left="520" w:top="1399" w:right="339"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20"/>
          <w:szCs w:val="20"/>
          <w:color w:val="auto"/>
        </w:rPr>
        <w:t>corrected or supplemented by a subsequent submission), and (vi) are not a party to any corporate integrity agreements, monitoring</w:t>
      </w:r>
    </w:p>
    <w:p>
      <w:pPr>
        <w:ind w:left="460"/>
        <w:spacing w:after="0" w:line="204" w:lineRule="auto"/>
        <w:rPr>
          <w:sz w:val="20"/>
          <w:szCs w:val="20"/>
          <w:color w:val="auto"/>
        </w:rPr>
      </w:pPr>
      <w:r>
        <w:rPr>
          <w:rFonts w:ascii="Times New Roman" w:cs="Times New Roman" w:eastAsia="Times New Roman" w:hAnsi="Times New Roman"/>
          <w:sz w:val="20"/>
          <w:szCs w:val="20"/>
          <w:color w:val="auto"/>
        </w:rPr>
        <w:t>agreements, consent decrees, settlement orders or similar agreements with or imposed by any governmental authority. All Governmental Permits are valid and in full force and effect, except where the validity or failure to be in full force and effect would</w:t>
      </w:r>
    </w:p>
    <w:p>
      <w:pPr>
        <w:ind w:left="460"/>
        <w:spacing w:after="0" w:line="223" w:lineRule="auto"/>
        <w:rPr>
          <w:sz w:val="20"/>
          <w:szCs w:val="20"/>
          <w:color w:val="auto"/>
        </w:rPr>
      </w:pPr>
      <w:r>
        <w:rPr>
          <w:rFonts w:ascii="Times New Roman" w:cs="Times New Roman" w:eastAsia="Times New Roman" w:hAnsi="Times New Roman"/>
          <w:sz w:val="19"/>
          <w:szCs w:val="19"/>
          <w:color w:val="auto"/>
        </w:rPr>
        <w:t>not, singularly or in the aggregate, have a Material Adverse Effect. Neither the Company nor any Subsidiary has received notification</w:t>
      </w:r>
    </w:p>
    <w:p>
      <w:pPr>
        <w:ind w:left="460"/>
        <w:spacing w:after="0" w:line="215" w:lineRule="auto"/>
        <w:rPr>
          <w:sz w:val="20"/>
          <w:szCs w:val="20"/>
          <w:color w:val="auto"/>
        </w:rPr>
      </w:pPr>
      <w:r>
        <w:rPr>
          <w:rFonts w:ascii="Times New Roman" w:cs="Times New Roman" w:eastAsia="Times New Roman" w:hAnsi="Times New Roman"/>
          <w:sz w:val="19"/>
          <w:szCs w:val="19"/>
          <w:color w:val="auto"/>
        </w:rPr>
        <w:t>of any revocation, modification, suspension, termination or invalidation (or proceedings related thereto) of any such Governmental Permit and the Company has no reason to believe that any such Governmental Permit will not be renewed. Neither the Company, any</w:t>
      </w:r>
    </w:p>
    <w:p>
      <w:pPr>
        <w:ind w:left="460"/>
        <w:spacing w:after="0" w:line="211" w:lineRule="auto"/>
        <w:rPr>
          <w:sz w:val="20"/>
          <w:szCs w:val="20"/>
          <w:color w:val="auto"/>
        </w:rPr>
      </w:pPr>
      <w:r>
        <w:rPr>
          <w:rFonts w:ascii="Times New Roman" w:cs="Times New Roman" w:eastAsia="Times New Roman" w:hAnsi="Times New Roman"/>
          <w:sz w:val="20"/>
          <w:szCs w:val="20"/>
          <w:color w:val="auto"/>
        </w:rPr>
        <w:t>of its Subsidiaries nor, to the Company’s knowledge, any of their respective directors, officers, employees or agents has been</w:t>
      </w:r>
    </w:p>
    <w:p>
      <w:pPr>
        <w:jc w:val="both"/>
        <w:ind w:left="460"/>
        <w:spacing w:after="0" w:line="204" w:lineRule="auto"/>
        <w:rPr>
          <w:sz w:val="20"/>
          <w:szCs w:val="20"/>
          <w:color w:val="auto"/>
        </w:rPr>
      </w:pPr>
      <w:r>
        <w:rPr>
          <w:rFonts w:ascii="Times New Roman" w:cs="Times New Roman" w:eastAsia="Times New Roman" w:hAnsi="Times New Roman"/>
          <w:sz w:val="20"/>
          <w:szCs w:val="20"/>
          <w:color w:val="auto"/>
        </w:rPr>
        <w:t>convicted of any crime under any Applicable Laws or has been the subject of an FDA debarment proceeding. Neither the Company nor any of its Subsidiaries has been nor is now subject to the FDA’s Application Integrity Policy. To the Company’s knowledge,</w:t>
      </w:r>
    </w:p>
    <w:p>
      <w:pPr>
        <w:ind w:left="460"/>
        <w:spacing w:after="0" w:line="211" w:lineRule="auto"/>
        <w:rPr>
          <w:sz w:val="20"/>
          <w:szCs w:val="20"/>
          <w:color w:val="auto"/>
        </w:rPr>
      </w:pPr>
      <w:r>
        <w:rPr>
          <w:rFonts w:ascii="Times New Roman" w:cs="Times New Roman" w:eastAsia="Times New Roman" w:hAnsi="Times New Roman"/>
          <w:sz w:val="20"/>
          <w:szCs w:val="20"/>
          <w:color w:val="auto"/>
        </w:rPr>
        <w:t>neither the Company, any of its Subsidiaries nor any of its directors, officers, employees or agents has made, or caused the making</w:t>
      </w:r>
    </w:p>
    <w:p>
      <w:pPr>
        <w:spacing w:after="0" w:line="1" w:lineRule="exact"/>
        <w:rPr>
          <w:sz w:val="20"/>
          <w:szCs w:val="20"/>
          <w:color w:val="auto"/>
        </w:rPr>
      </w:pPr>
    </w:p>
    <w:p>
      <w:pPr>
        <w:ind w:left="460" w:right="20"/>
        <w:spacing w:after="0" w:line="221" w:lineRule="auto"/>
        <w:rPr>
          <w:sz w:val="20"/>
          <w:szCs w:val="20"/>
          <w:color w:val="auto"/>
        </w:rPr>
      </w:pPr>
      <w:r>
        <w:rPr>
          <w:rFonts w:ascii="Times New Roman" w:cs="Times New Roman" w:eastAsia="Times New Roman" w:hAnsi="Times New Roman"/>
          <w:sz w:val="20"/>
          <w:szCs w:val="20"/>
          <w:color w:val="auto"/>
        </w:rPr>
        <w:t>of, any false statements on, or material omissions from, any other records or documentation prepared or maintained to comply with the requirements of the FDA or any other governmental authority.</w:t>
      </w:r>
    </w:p>
    <w:p>
      <w:pPr>
        <w:spacing w:after="0" w:line="162" w:lineRule="exact"/>
        <w:rPr>
          <w:sz w:val="20"/>
          <w:szCs w:val="20"/>
          <w:color w:val="auto"/>
        </w:rPr>
      </w:pPr>
    </w:p>
    <w:p>
      <w:pPr>
        <w:jc w:val="both"/>
        <w:ind w:left="460" w:firstLine="644"/>
        <w:spacing w:after="0" w:line="211" w:lineRule="auto"/>
        <w:tabs>
          <w:tab w:leader="none" w:pos="175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Regulatory Proceedings</w:t>
      </w:r>
      <w:r>
        <w:rPr>
          <w:rFonts w:ascii="Times New Roman" w:cs="Times New Roman" w:eastAsia="Times New Roman" w:hAnsi="Times New Roman"/>
          <w:sz w:val="20"/>
          <w:szCs w:val="20"/>
          <w:color w:val="auto"/>
        </w:rPr>
        <w:t>. 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the General Disclosure Package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152" w:lineRule="exact"/>
        <w:rPr>
          <w:rFonts w:ascii="Times New Roman" w:cs="Times New Roman" w:eastAsia="Times New Roman" w:hAnsi="Times New Roman"/>
          <w:sz w:val="20"/>
          <w:szCs w:val="20"/>
          <w:color w:val="auto"/>
        </w:rPr>
      </w:pPr>
    </w:p>
    <w:p>
      <w:pPr>
        <w:jc w:val="both"/>
        <w:ind w:left="460" w:firstLine="644"/>
        <w:spacing w:after="0" w:line="210" w:lineRule="auto"/>
        <w:tabs>
          <w:tab w:leader="none" w:pos="175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Health Care Laws</w:t>
      </w:r>
      <w:r>
        <w:rPr>
          <w:rFonts w:ascii="Times New Roman" w:cs="Times New Roman" w:eastAsia="Times New Roman" w:hAnsi="Times New Roman"/>
          <w:sz w:val="20"/>
          <w:szCs w:val="20"/>
          <w:color w:val="auto"/>
        </w:rPr>
        <w:t>. The Company has operated and currently is in compliance with all applicable health care laws, rules and regulations (except where such failure to operate or non-compliance would not, singly or in the aggregate, result in a Material Adverse Effect), including, without limitation, (i) the Federal Food, Drug and Cosmetic Act (21 U.S.C. §§ 301 et seq.); (ii) all applicable federal, state, local and all applicable foreign healthcare related fraud and abuse laws, including, without limitation, the federal Anti-kickback Statute (42 U.S.C. § 1320a-7b(b)), the U.S. Physician Payments Sunshine Act (42 U.S.C. § 1320a-7h), the civil False Claims Act (31 U.S.C. §§ 3729 et seq.), the criminal False Claims Law (42 U.S.C. § 1320a-7b(a)), all criminal laws relating to healthcare fraud and abuse, including but not limited to 18 U.S.C. Sections 286 and 287, the healthcare fraud criminal provisions under the U.S. Health Insurance Portability and Accountability Act of 1996 (“</w:t>
      </w:r>
      <w:r>
        <w:rPr>
          <w:rFonts w:ascii="Times New Roman" w:cs="Times New Roman" w:eastAsia="Times New Roman" w:hAnsi="Times New Roman"/>
          <w:sz w:val="20"/>
          <w:szCs w:val="20"/>
          <w:u w:val="single" w:color="auto"/>
          <w:color w:val="auto"/>
        </w:rPr>
        <w:t>HIPAA</w:t>
      </w:r>
      <w:r>
        <w:rPr>
          <w:rFonts w:ascii="Times New Roman" w:cs="Times New Roman" w:eastAsia="Times New Roman" w:hAnsi="Times New Roman"/>
          <w:sz w:val="20"/>
          <w:szCs w:val="20"/>
          <w:color w:val="auto"/>
        </w:rPr>
        <w:t>”) (42 U.S.C. Section 1320d et seq.), the exclusion laws (42 U.S.C. § 1320a-7), and the civil monetary penalties law (42 U.S.C. § 1320a-7a); (iii) HIPAA, as amended by the Health Information Technology for Economic Clinical Health Act (42 U.S.C. Section 17921 et seq.); (iv) the regulations promulgated pursuant to such laws; and (v) any other similar local, state, federal, or foreign laws (collectively, the “</w:t>
      </w:r>
      <w:r>
        <w:rPr>
          <w:rFonts w:ascii="Times New Roman" w:cs="Times New Roman" w:eastAsia="Times New Roman" w:hAnsi="Times New Roman"/>
          <w:sz w:val="20"/>
          <w:szCs w:val="20"/>
          <w:u w:val="single" w:color="auto"/>
          <w:color w:val="auto"/>
        </w:rPr>
        <w:t>Health Care Laws</w:t>
      </w:r>
      <w:r>
        <w:rPr>
          <w:rFonts w:ascii="Times New Roman" w:cs="Times New Roman" w:eastAsia="Times New Roman" w:hAnsi="Times New Roman"/>
          <w:sz w:val="20"/>
          <w:szCs w:val="20"/>
          <w:color w:val="auto"/>
        </w:rPr>
        <w:t>”). Neither the Company, nor to the Company’s knowledge, any of its officers, directors, employees or agents have engaged in activities which are, 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from any court or arbitrator or governmental or regulatory authority or third party alleging that any product operation or activity is in violation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40"/>
          </w:cols>
          <w:pgMar w:left="520" w:top="1394" w:right="339"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20"/>
          <w:szCs w:val="20"/>
          <w:color w:val="auto"/>
        </w:rPr>
        <w:t>any Health Care Laws, and, to the Company’s knowledge, no such claim, action, suit, proceeding, hearing, enforcement,</w:t>
      </w:r>
    </w:p>
    <w:p>
      <w:pPr>
        <w:jc w:val="both"/>
        <w:ind w:left="460"/>
        <w:spacing w:after="0" w:line="204" w:lineRule="auto"/>
        <w:rPr>
          <w:sz w:val="20"/>
          <w:szCs w:val="20"/>
          <w:color w:val="auto"/>
        </w:rPr>
      </w:pPr>
      <w:r>
        <w:rPr>
          <w:rFonts w:ascii="Times New Roman" w:cs="Times New Roman" w:eastAsia="Times New Roman" w:hAnsi="Times New Roman"/>
          <w:sz w:val="20"/>
          <w:szCs w:val="20"/>
          <w:color w:val="auto"/>
        </w:rPr>
        <w:t>investigation, arbitration or other action is threatened. The Company is not a party to and does not have any ongoing reporting obligations pursuant to any corporate integrity agreement, deferred prosecution agreement, monitoring agreement, consent decree,</w:t>
      </w:r>
    </w:p>
    <w:p>
      <w:pPr>
        <w:ind w:left="460"/>
        <w:spacing w:after="0" w:line="223" w:lineRule="auto"/>
        <w:rPr>
          <w:sz w:val="20"/>
          <w:szCs w:val="20"/>
          <w:color w:val="auto"/>
        </w:rPr>
      </w:pPr>
      <w:r>
        <w:rPr>
          <w:rFonts w:ascii="Times New Roman" w:cs="Times New Roman" w:eastAsia="Times New Roman" w:hAnsi="Times New Roman"/>
          <w:sz w:val="19"/>
          <w:szCs w:val="19"/>
          <w:color w:val="auto"/>
        </w:rPr>
        <w:t>settlement order, plan of correction or similar agreement imposed by any governmental or regulatory authority. Additionally, neither</w:t>
      </w:r>
    </w:p>
    <w:p>
      <w:pPr>
        <w:ind w:left="460"/>
        <w:spacing w:after="0" w:line="204" w:lineRule="auto"/>
        <w:rPr>
          <w:sz w:val="20"/>
          <w:szCs w:val="20"/>
          <w:color w:val="auto"/>
        </w:rPr>
      </w:pPr>
      <w:r>
        <w:rPr>
          <w:rFonts w:ascii="Times New Roman" w:cs="Times New Roman" w:eastAsia="Times New Roman" w:hAnsi="Times New Roman"/>
          <w:sz w:val="20"/>
          <w:szCs w:val="20"/>
          <w:color w:val="auto"/>
        </w:rPr>
        <w:t>the Company, nor to the Company’s knowledge, any of its employees, officers or directors, has been excluded, suspended or debarred from participation in any U.S. state or federal health care program or human clinical research or, to the knowledge of the</w:t>
      </w:r>
    </w:p>
    <w:p>
      <w:pPr>
        <w:spacing w:after="0" w:line="1" w:lineRule="exact"/>
        <w:rPr>
          <w:sz w:val="20"/>
          <w:szCs w:val="20"/>
          <w:color w:val="auto"/>
        </w:rPr>
      </w:pPr>
    </w:p>
    <w:p>
      <w:pPr>
        <w:ind w:left="460"/>
        <w:spacing w:after="0" w:line="228" w:lineRule="auto"/>
        <w:rPr>
          <w:sz w:val="20"/>
          <w:szCs w:val="20"/>
          <w:color w:val="auto"/>
        </w:rPr>
      </w:pPr>
      <w:r>
        <w:rPr>
          <w:rFonts w:ascii="Times New Roman" w:cs="Times New Roman" w:eastAsia="Times New Roman" w:hAnsi="Times New Roman"/>
          <w:sz w:val="20"/>
          <w:szCs w:val="20"/>
          <w:color w:val="auto"/>
        </w:rPr>
        <w:t>Company, is subject to a governmental inquiry, investigation, proceeding, or other similar action that could reasonably be expected to result in debarment, suspension, or exclusion.</w:t>
      </w:r>
    </w:p>
    <w:p>
      <w:pPr>
        <w:spacing w:after="0" w:line="149" w:lineRule="exact"/>
        <w:rPr>
          <w:sz w:val="20"/>
          <w:szCs w:val="20"/>
          <w:color w:val="auto"/>
        </w:rPr>
      </w:pPr>
    </w:p>
    <w:p>
      <w:pPr>
        <w:jc w:val="both"/>
        <w:ind w:left="460" w:firstLine="644"/>
        <w:spacing w:after="0" w:line="209" w:lineRule="auto"/>
        <w:tabs>
          <w:tab w:leader="none" w:pos="175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Except as could not reasonably be expected, individually or in the aggregate, to have a Material Adverse Effect: (i) neither the Company nor any of its Subsidiaries is in violation of any United States federal, state or local, or any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emissions, discharges, release or threatened release of chemicals, pollutants, contaminants, wastes, toxic substances, hazardous substances, petroleum or petroleum products (collectively, “</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or otherwise related to the manufacture, processing, distribution, use, treatment, storage, disposal, transport or handling of Hazardous Materials (collectively,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which violation includes, but is not limited to, noncompliance with any permits or other governmental authorizations required for the operation of the business of the Company or any of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 Company and its Subsidiaries have all material permits, authorizations and approvals required under any applicable Environmental Laws and are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or any investigation with respect to which the Company or any of its Subsidiaries has received written notice or any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Hazardous Materials at any location owned, leased or operated by the Company or any of its Subsidiaries, now or in the past; and (iv) to the Company’s knowledge, there are no past or present actions, activities, events, conditions, incidents or circumstances that might reasonably be expected to result in a violation of any Environmental Law or form the basis of an order for clean-up or remediation, or an action, suit, investigation or proceeding by any private party or governmental body or agency, against or affecting the Company or any of its Subsidiaries relating to Hazardous Materials or any Environmental Laws.</w:t>
      </w:r>
    </w:p>
    <w:p>
      <w:pPr>
        <w:spacing w:after="0" w:line="152" w:lineRule="exact"/>
        <w:rPr>
          <w:rFonts w:ascii="Times New Roman" w:cs="Times New Roman" w:eastAsia="Times New Roman" w:hAnsi="Times New Roman"/>
          <w:sz w:val="20"/>
          <w:szCs w:val="20"/>
          <w:color w:val="auto"/>
        </w:rPr>
      </w:pPr>
    </w:p>
    <w:p>
      <w:pPr>
        <w:jc w:val="both"/>
        <w:ind w:left="460" w:firstLine="644"/>
        <w:spacing w:after="0" w:line="224" w:lineRule="auto"/>
        <w:tabs>
          <w:tab w:leader="none" w:pos="1753"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Accounting Controls and Disclosure Controls</w:t>
      </w:r>
      <w:r>
        <w:rPr>
          <w:rFonts w:ascii="Times New Roman" w:cs="Times New Roman" w:eastAsia="Times New Roman" w:hAnsi="Times New Roman"/>
          <w:sz w:val="19"/>
          <w:szCs w:val="19"/>
          <w:color w:val="auto"/>
        </w:rPr>
        <w:t>. The Company and each of its Subsidiaries, taken as a whole,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w:t>
      </w:r>
    </w:p>
    <w:p>
      <w:pPr>
        <w:ind w:left="460"/>
        <w:spacing w:after="0" w:line="209" w:lineRule="auto"/>
        <w:rPr>
          <w:sz w:val="20"/>
          <w:szCs w:val="20"/>
          <w:color w:val="auto"/>
        </w:rPr>
      </w:pPr>
      <w:r>
        <w:rPr>
          <w:rFonts w:ascii="Times New Roman" w:cs="Times New Roman" w:eastAsia="Times New Roman" w:hAnsi="Times New Roman"/>
          <w:sz w:val="19"/>
          <w:szCs w:val="19"/>
          <w:color w:val="auto"/>
        </w:rPr>
        <w:t>for assets is compared with existing assets at reasonable intervals and appropriate action is taken with respect to any differences; and</w:t>
      </w:r>
    </w:p>
    <w:p>
      <w:pPr>
        <w:ind w:left="460" w:hanging="4"/>
        <w:spacing w:after="0" w:line="228" w:lineRule="auto"/>
        <w:tabs>
          <w:tab w:leader="none" w:pos="7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interactive data in eXtensible Business Reporting Language included or incorporated by reference in the Registration Statement, the General Disclosure Package and the Prospectus fairly presents the information called for in all material respects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040"/>
          </w:cols>
          <w:pgMar w:left="520" w:top="1394" w:right="339" w:bottom="1440" w:gutter="0" w:footer="0" w:header="0"/>
        </w:sectPr>
      </w:pPr>
    </w:p>
    <w:bookmarkStart w:id="18" w:name="page19"/>
    <w:bookmarkEnd w:id="18"/>
    <w:p>
      <w:pPr>
        <w:ind w:left="460"/>
        <w:spacing w:after="0" w:line="227" w:lineRule="auto"/>
        <w:rPr>
          <w:sz w:val="20"/>
          <w:szCs w:val="20"/>
          <w:color w:val="auto"/>
        </w:rPr>
      </w:pPr>
      <w:r>
        <w:rPr>
          <w:rFonts w:ascii="Times New Roman" w:cs="Times New Roman" w:eastAsia="Times New Roman" w:hAnsi="Times New Roman"/>
          <w:sz w:val="19"/>
          <w:szCs w:val="19"/>
          <w:color w:val="auto"/>
        </w:rPr>
        <w:t>is prepared in accordance with the Commission’s rules and guidelines applicable thereto. The Company and each of its Subsidiaries have established and maintain disclosure controls and procedures (as defined in Rules 13a-15 and 15d-15 under the 1934 Act), which</w:t>
      </w:r>
    </w:p>
    <w:p>
      <w:pPr>
        <w:jc w:val="both"/>
        <w:ind w:left="460" w:hanging="4"/>
        <w:spacing w:after="0" w:line="210" w:lineRule="auto"/>
        <w:tabs>
          <w:tab w:leader="none" w:pos="71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material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6" w:lineRule="exact"/>
        <w:rPr>
          <w:rFonts w:ascii="Times New Roman" w:cs="Times New Roman" w:eastAsia="Times New Roman" w:hAnsi="Times New Roman"/>
          <w:sz w:val="20"/>
          <w:szCs w:val="20"/>
          <w:color w:val="auto"/>
        </w:rPr>
      </w:pPr>
    </w:p>
    <w:p>
      <w:pPr>
        <w:jc w:val="both"/>
        <w:ind w:left="460" w:firstLine="644"/>
        <w:spacing w:after="0" w:line="220" w:lineRule="auto"/>
        <w:tabs>
          <w:tab w:leader="none" w:pos="1754"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Tests and Preclinical and Clinical Trials</w:t>
      </w:r>
      <w:r>
        <w:rPr>
          <w:rFonts w:ascii="Times New Roman" w:cs="Times New Roman" w:eastAsia="Times New Roman" w:hAnsi="Times New Roman"/>
          <w:sz w:val="19"/>
          <w:szCs w:val="19"/>
          <w:color w:val="auto"/>
        </w:rPr>
        <w:t>. The research, non-clinical and pre-clinical studies and clinical trials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Times New Roman" w:cs="Times New Roman" w:eastAsia="Times New Roman" w:hAnsi="Times New Roman"/>
          <w:sz w:val="19"/>
          <w:szCs w:val="19"/>
          <w:u w:val="single" w:color="auto"/>
          <w:color w:val="auto"/>
        </w:rPr>
        <w:t>Studies</w:t>
      </w:r>
      <w:r>
        <w:rPr>
          <w:rFonts w:ascii="Times New Roman" w:cs="Times New Roman" w:eastAsia="Times New Roman" w:hAnsi="Times New Roman"/>
          <w:sz w:val="19"/>
          <w:szCs w:val="19"/>
          <w:color w:val="auto"/>
        </w:rPr>
        <w:t>”) that are described in, or the results of which are referred to in, the Registration Statement, the General Disclosure Package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 call into question, the results described or referred to in the Registration Statement, the General Disclosure Package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 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 with all applicable rules, regulations and policies of all governmental authorities. Except as disclosed in the Registration Statement, the General Disclosure Package and the Prospectus (including the documents incorporated by reference therein), there have been no material serious adverse events resulting from any Study. To the Company’s knowledge, the manufacturing facilities and operations of its suppliers are operated in compliance in all material respects with all Applicable Laws and Governmental Permits.</w:t>
      </w:r>
    </w:p>
    <w:p>
      <w:pPr>
        <w:spacing w:after="0" w:line="163" w:lineRule="exact"/>
        <w:rPr>
          <w:rFonts w:ascii="Times New Roman" w:cs="Times New Roman" w:eastAsia="Times New Roman" w:hAnsi="Times New Roman"/>
          <w:sz w:val="19"/>
          <w:szCs w:val="19"/>
          <w:color w:val="auto"/>
        </w:rPr>
      </w:pPr>
    </w:p>
    <w:p>
      <w:pPr>
        <w:jc w:val="both"/>
        <w:ind w:left="460" w:firstLine="644"/>
        <w:spacing w:after="0" w:line="212" w:lineRule="auto"/>
        <w:tabs>
          <w:tab w:leader="none" w:pos="1755"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All United States federal income tax returns of the Company and its Subsidiaries required by law to be filed have been filed or extensions thereof have been requested (except where the failure to file would not reasonably be expected, singly or in the aggregate, to have a Material Adverse Effect on the Company and its Subsidiaries, taken as whole), and all taxes shown by such returns or otherwise assessed, which are due and payable, have been paid, except where the failure to file would not reasonably be expected, singly or in the aggregate, to have a Material Adverse Effect on the Company and its Subsidiaries, taken as whole, or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040"/>
          </w:cols>
          <w:pgMar w:left="520" w:top="1399" w:right="339"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20"/>
          <w:szCs w:val="20"/>
          <w:color w:val="auto"/>
        </w:rPr>
        <w:t>and paid all taxes due pursuant to such returns or pursuant to any assessment received by the Company and its Subsidiaries, except</w:t>
      </w:r>
    </w:p>
    <w:p>
      <w:pPr>
        <w:ind w:left="460"/>
        <w:spacing w:after="0" w:line="215" w:lineRule="auto"/>
        <w:rPr>
          <w:sz w:val="20"/>
          <w:szCs w:val="20"/>
          <w:color w:val="auto"/>
        </w:rPr>
      </w:pPr>
      <w:r>
        <w:rPr>
          <w:rFonts w:ascii="Times New Roman" w:cs="Times New Roman" w:eastAsia="Times New Roman" w:hAnsi="Times New Roman"/>
          <w:sz w:val="19"/>
          <w:szCs w:val="19"/>
          <w:color w:val="auto"/>
        </w:rPr>
        <w:t>for such taxes, if any, as are being contested in good faith and as to which adequate reserves have been provided and except for such taxes or assessments the nonpayment of which would not, individually or in the aggregate, reasonably be expected to result in a</w:t>
      </w:r>
    </w:p>
    <w:p>
      <w:pPr>
        <w:ind w:left="460"/>
        <w:spacing w:after="0" w:line="211" w:lineRule="auto"/>
        <w:rPr>
          <w:sz w:val="20"/>
          <w:szCs w:val="20"/>
          <w:color w:val="auto"/>
        </w:rPr>
      </w:pPr>
      <w:r>
        <w:rPr>
          <w:rFonts w:ascii="Times New Roman" w:cs="Times New Roman" w:eastAsia="Times New Roman" w:hAnsi="Times New Roman"/>
          <w:sz w:val="20"/>
          <w:szCs w:val="20"/>
          <w:color w:val="auto"/>
        </w:rPr>
        <w:t>Material Adverse Effect. The charges, accruals and reserves on the books of the Company and its Subsidiaries in respect of any</w:t>
      </w:r>
    </w:p>
    <w:p>
      <w:pPr>
        <w:ind w:left="460"/>
        <w:spacing w:after="0" w:line="204" w:lineRule="auto"/>
        <w:rPr>
          <w:sz w:val="20"/>
          <w:szCs w:val="20"/>
          <w:color w:val="auto"/>
        </w:rPr>
      </w:pPr>
      <w:r>
        <w:rPr>
          <w:rFonts w:ascii="Times New Roman" w:cs="Times New Roman" w:eastAsia="Times New Roman" w:hAnsi="Times New Roman"/>
          <w:sz w:val="20"/>
          <w:szCs w:val="20"/>
          <w:color w:val="auto"/>
        </w:rPr>
        <w:t>income or other tax liability for any years not finally determined are adequate to meet any assessments or re-assessments for additional tax for any years not finally determined, except to the extent of any inadequacy that would not reasonably be expected to</w:t>
      </w:r>
    </w:p>
    <w:p>
      <w:pPr>
        <w:ind w:left="460"/>
        <w:spacing w:after="0" w:line="211" w:lineRule="auto"/>
        <w:rPr>
          <w:sz w:val="20"/>
          <w:szCs w:val="20"/>
          <w:color w:val="auto"/>
        </w:rPr>
      </w:pPr>
      <w:r>
        <w:rPr>
          <w:rFonts w:ascii="Times New Roman" w:cs="Times New Roman" w:eastAsia="Times New Roman" w:hAnsi="Times New Roman"/>
          <w:sz w:val="20"/>
          <w:szCs w:val="20"/>
          <w:color w:val="auto"/>
        </w:rPr>
        <w:t>result in a Material Adverse Effect. All material taxes which the Company and its Subsidiaries are required by law to withhold or to</w:t>
      </w:r>
    </w:p>
    <w:p>
      <w:pPr>
        <w:spacing w:after="0" w:line="1" w:lineRule="exact"/>
        <w:rPr>
          <w:sz w:val="20"/>
          <w:szCs w:val="20"/>
          <w:color w:val="auto"/>
        </w:rPr>
      </w:pPr>
    </w:p>
    <w:p>
      <w:pPr>
        <w:ind w:left="460"/>
        <w:spacing w:after="0" w:line="221" w:lineRule="auto"/>
        <w:rPr>
          <w:sz w:val="20"/>
          <w:szCs w:val="20"/>
          <w:color w:val="auto"/>
        </w:rPr>
      </w:pPr>
      <w:r>
        <w:rPr>
          <w:rFonts w:ascii="Times New Roman" w:cs="Times New Roman" w:eastAsia="Times New Roman" w:hAnsi="Times New Roman"/>
          <w:sz w:val="20"/>
          <w:szCs w:val="20"/>
          <w:color w:val="auto"/>
        </w:rPr>
        <w:t>collect for payment have been duly withheld and collected and have been paid to the appropriate governmental authority or agency or have been accrued, reserved against and entered on the books of the Company and its Subsidiaries.</w:t>
      </w:r>
    </w:p>
    <w:p>
      <w:pPr>
        <w:spacing w:after="0" w:line="162" w:lineRule="exact"/>
        <w:rPr>
          <w:sz w:val="20"/>
          <w:szCs w:val="20"/>
          <w:color w:val="auto"/>
        </w:rPr>
      </w:pPr>
    </w:p>
    <w:p>
      <w:pPr>
        <w:jc w:val="both"/>
        <w:ind w:left="460" w:firstLine="644"/>
        <w:spacing w:after="0" w:line="213" w:lineRule="auto"/>
        <w:tabs>
          <w:tab w:leader="none" w:pos="17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Each of the Company and its Subsidiaries are insured by recognized and reputable institutions with policies in such amounts and with such deductibles and covering such risks as are, in the reasonable judgment of the Company, prudent and customary in the businesses in which it is engaged,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161" w:lineRule="exact"/>
        <w:rPr>
          <w:rFonts w:ascii="Times New Roman" w:cs="Times New Roman" w:eastAsia="Times New Roman" w:hAnsi="Times New Roman"/>
          <w:sz w:val="20"/>
          <w:szCs w:val="20"/>
          <w:color w:val="auto"/>
        </w:rPr>
      </w:pPr>
    </w:p>
    <w:p>
      <w:pPr>
        <w:jc w:val="both"/>
        <w:ind w:left="460" w:right="20" w:firstLine="644"/>
        <w:spacing w:after="0" w:line="226" w:lineRule="auto"/>
        <w:tabs>
          <w:tab w:leader="none" w:pos="174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The Company is not and, after giving effect to the issuance and sale of the Securities and the application of the net proceeds thereof as described in the Registration Statement, the General Disclosure Package and the Prospectus, will not be an “investment company” as defined in the Investment Company Act of 1940, as amended.</w:t>
      </w:r>
    </w:p>
    <w:p>
      <w:pPr>
        <w:spacing w:after="0" w:line="160" w:lineRule="exact"/>
        <w:rPr>
          <w:rFonts w:ascii="Times New Roman" w:cs="Times New Roman" w:eastAsia="Times New Roman" w:hAnsi="Times New Roman"/>
          <w:sz w:val="20"/>
          <w:szCs w:val="20"/>
          <w:color w:val="auto"/>
        </w:rPr>
      </w:pPr>
    </w:p>
    <w:p>
      <w:pPr>
        <w:jc w:val="both"/>
        <w:ind w:left="460" w:firstLine="644"/>
        <w:spacing w:after="0" w:line="216" w:lineRule="auto"/>
        <w:tabs>
          <w:tab w:leader="none" w:pos="17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Manipulation</w:t>
      </w:r>
      <w:r>
        <w:rPr>
          <w:rFonts w:ascii="Times New Roman" w:cs="Times New Roman" w:eastAsia="Times New Roman" w:hAnsi="Times New Roman"/>
          <w:sz w:val="20"/>
          <w:szCs w:val="20"/>
          <w:color w:val="auto"/>
        </w:rPr>
        <w:t>. Neither the Company, nor any of its Subsidiaries, nor to the knowledge of the Company, any of its or their respective directors, officers or controlling persons has taken, directly or indirectly, without giving effect to any actions taken by the Representatives, (i) any action designed to or that might constitute or reasonably be expected to cause or result in, under the 1934 Act or otherwise, stabilization or manipulation of the price of any security of the Company to facilitate the sale or resale of the Securities or (ii) any action designed to or that might constitute or reasonably be expected to cause or result in a violation of Regulation M under the 1934 Act.</w:t>
      </w:r>
    </w:p>
    <w:p>
      <w:pPr>
        <w:spacing w:after="0" w:line="162" w:lineRule="exact"/>
        <w:rPr>
          <w:sz w:val="20"/>
          <w:szCs w:val="20"/>
          <w:color w:val="auto"/>
        </w:rPr>
      </w:pPr>
    </w:p>
    <w:p>
      <w:pPr>
        <w:ind w:left="460" w:firstLine="648"/>
        <w:spacing w:after="0" w:line="215" w:lineRule="auto"/>
        <w:rPr>
          <w:sz w:val="20"/>
          <w:szCs w:val="20"/>
          <w:color w:val="auto"/>
        </w:rPr>
      </w:pPr>
      <w:r>
        <w:rPr>
          <w:rFonts w:ascii="Times New Roman" w:cs="Times New Roman" w:eastAsia="Times New Roman" w:hAnsi="Times New Roman"/>
          <w:sz w:val="20"/>
          <w:szCs w:val="20"/>
          <w:color w:val="auto"/>
        </w:rPr>
        <w:t>(xxxvii)Neither the Company, any of its Subsidiaries, nor, to the knowledge of the Company, any of their respective directors, officers, agents, employees or affiliates, has taken or will take any action in furtherance of an offer, payment, promise to</w:t>
      </w:r>
    </w:p>
    <w:p>
      <w:pPr>
        <w:ind w:left="460"/>
        <w:spacing w:after="0" w:line="212" w:lineRule="auto"/>
        <w:rPr>
          <w:sz w:val="20"/>
          <w:szCs w:val="20"/>
          <w:color w:val="auto"/>
        </w:rPr>
      </w:pPr>
      <w:r>
        <w:rPr>
          <w:rFonts w:ascii="Times New Roman" w:cs="Times New Roman" w:eastAsia="Times New Roman" w:hAnsi="Times New Roman"/>
          <w:sz w:val="20"/>
          <w:szCs w:val="20"/>
          <w:color w:val="auto"/>
        </w:rPr>
        <w:t>pay, or authorization or approval of the unlawful payment or giving of money, property, gifts or anything else of value, directly or</w:t>
      </w:r>
    </w:p>
    <w:p>
      <w:pPr>
        <w:spacing w:after="0" w:line="1" w:lineRule="exact"/>
        <w:rPr>
          <w:sz w:val="20"/>
          <w:szCs w:val="20"/>
          <w:color w:val="auto"/>
        </w:rPr>
      </w:pPr>
    </w:p>
    <w:p>
      <w:pPr>
        <w:ind w:left="460"/>
        <w:spacing w:after="0" w:line="215" w:lineRule="auto"/>
        <w:rPr>
          <w:sz w:val="20"/>
          <w:szCs w:val="20"/>
          <w:color w:val="auto"/>
        </w:rPr>
      </w:pPr>
      <w:r>
        <w:rPr>
          <w:rFonts w:ascii="Times New Roman" w:cs="Times New Roman" w:eastAsia="Times New Roman" w:hAnsi="Times New Roman"/>
          <w:sz w:val="19"/>
          <w:szCs w:val="19"/>
          <w:color w:val="auto"/>
        </w:rPr>
        <w:t>indirectly, to any “government official” (including any officer or employee of a government or government-owned or controlled entity or of a public international organization, or any person acting in an official capacity for or on behalf of any of the foregoing, or</w:t>
      </w:r>
    </w:p>
    <w:p>
      <w:pPr>
        <w:ind w:left="460"/>
        <w:spacing w:after="0" w:line="222" w:lineRule="auto"/>
        <w:rPr>
          <w:sz w:val="20"/>
          <w:szCs w:val="20"/>
          <w:color w:val="auto"/>
        </w:rPr>
      </w:pPr>
      <w:r>
        <w:rPr>
          <w:rFonts w:ascii="Times New Roman" w:cs="Times New Roman" w:eastAsia="Times New Roman" w:hAnsi="Times New Roman"/>
          <w:sz w:val="19"/>
          <w:szCs w:val="19"/>
          <w:color w:val="auto"/>
        </w:rPr>
        <w:t>any political party or party official or candidate for political office) to influence official action or secure an improper advantage; and</w:t>
      </w:r>
    </w:p>
    <w:p>
      <w:pPr>
        <w:ind w:left="460" w:right="20"/>
        <w:spacing w:after="0" w:line="221" w:lineRule="auto"/>
        <w:rPr>
          <w:sz w:val="20"/>
          <w:szCs w:val="20"/>
          <w:color w:val="auto"/>
        </w:rPr>
      </w:pPr>
      <w:r>
        <w:rPr>
          <w:rFonts w:ascii="Times New Roman" w:cs="Times New Roman" w:eastAsia="Times New Roman" w:hAnsi="Times New Roman"/>
          <w:sz w:val="20"/>
          <w:szCs w:val="20"/>
          <w:color w:val="auto"/>
        </w:rPr>
        <w:t>the Company, each of its Subsidiaries and, to the Company’s knowledge, each of their respective affiliates have conducted their businesses in compliance with applicable anti-corruption laws.</w:t>
      </w:r>
    </w:p>
    <w:p>
      <w:pPr>
        <w:spacing w:after="0" w:line="162" w:lineRule="exact"/>
        <w:rPr>
          <w:sz w:val="20"/>
          <w:szCs w:val="20"/>
          <w:color w:val="auto"/>
        </w:rPr>
      </w:pPr>
    </w:p>
    <w:p>
      <w:pPr>
        <w:jc w:val="both"/>
        <w:ind w:left="460" w:firstLine="644"/>
        <w:spacing w:after="0" w:line="222" w:lineRule="auto"/>
        <w:tabs>
          <w:tab w:leader="none" w:pos="239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Corrupt Practices Act</w:t>
      </w:r>
      <w:r>
        <w:rPr>
          <w:rFonts w:ascii="Times New Roman" w:cs="Times New Roman" w:eastAsia="Times New Roman" w:hAnsi="Times New Roman"/>
          <w:sz w:val="20"/>
          <w:szCs w:val="20"/>
          <w:color w:val="auto"/>
        </w:rPr>
        <w:t>. 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040"/>
          </w:cols>
          <w:pgMar w:left="520" w:top="1394" w:right="339"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9"/>
          <w:szCs w:val="19"/>
          <w:color w:val="auto"/>
        </w:rPr>
        <w:t>Practices Act of 1977, as amended, and the rules and regulations thereunder (the “</w:t>
      </w:r>
      <w:r>
        <w:rPr>
          <w:rFonts w:ascii="Times New Roman" w:cs="Times New Roman" w:eastAsia="Times New Roman" w:hAnsi="Times New Roman"/>
          <w:sz w:val="19"/>
          <w:szCs w:val="19"/>
          <w:u w:val="single" w:color="auto"/>
          <w:color w:val="auto"/>
        </w:rPr>
        <w:t>FCPA</w:t>
      </w:r>
      <w:r>
        <w:rPr>
          <w:rFonts w:ascii="Times New Roman" w:cs="Times New Roman" w:eastAsia="Times New Roman" w:hAnsi="Times New Roman"/>
          <w:sz w:val="19"/>
          <w:szCs w:val="19"/>
          <w:color w:val="auto"/>
        </w:rPr>
        <w:t>”), including, without limitation, making use</w:t>
      </w:r>
    </w:p>
    <w:p>
      <w:pPr>
        <w:spacing w:after="0" w:line="6"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of the mails or any means or instrumentality of interstate commerce corruptly in furtherance of an offer, payment, promise to pay or authorization of the payment of any money, or other property, gift, promise to give, or authorization of the giving of anything of</w:t>
      </w:r>
    </w:p>
    <w:p>
      <w:pPr>
        <w:ind w:left="460"/>
        <w:spacing w:after="0" w:line="223" w:lineRule="auto"/>
        <w:rPr>
          <w:sz w:val="20"/>
          <w:szCs w:val="20"/>
          <w:color w:val="auto"/>
        </w:rPr>
      </w:pPr>
      <w:r>
        <w:rPr>
          <w:rFonts w:ascii="Times New Roman" w:cs="Times New Roman" w:eastAsia="Times New Roman" w:hAnsi="Times New Roman"/>
          <w:sz w:val="19"/>
          <w:szCs w:val="19"/>
          <w:color w:val="auto"/>
        </w:rPr>
        <w:t>value to any “foreign official” (as such term is defined in the FCPA) or any foreign political party or official thereof or any candidate</w:t>
      </w:r>
    </w:p>
    <w:p>
      <w:pPr>
        <w:ind w:left="460"/>
        <w:spacing w:after="0" w:line="204" w:lineRule="auto"/>
        <w:rPr>
          <w:sz w:val="20"/>
          <w:szCs w:val="20"/>
          <w:color w:val="auto"/>
        </w:rPr>
      </w:pPr>
      <w:r>
        <w:rPr>
          <w:rFonts w:ascii="Times New Roman" w:cs="Times New Roman" w:eastAsia="Times New Roman" w:hAnsi="Times New Roman"/>
          <w:sz w:val="20"/>
          <w:szCs w:val="20"/>
          <w:color w:val="auto"/>
        </w:rPr>
        <w:t>for foreign political office or otherwise took any action (or failed to fully disclose any action) in contravention of the FCPA; and the Company, its Subsidiaries and, to the Company’s knowledge, each of their respective affiliates have conducted their businesses in</w:t>
      </w:r>
    </w:p>
    <w:p>
      <w:pPr>
        <w:spacing w:after="0" w:line="1" w:lineRule="exact"/>
        <w:rPr>
          <w:sz w:val="20"/>
          <w:szCs w:val="20"/>
          <w:color w:val="auto"/>
        </w:rPr>
      </w:pPr>
    </w:p>
    <w:p>
      <w:pPr>
        <w:ind w:left="460"/>
        <w:spacing w:after="0" w:line="228" w:lineRule="auto"/>
        <w:rPr>
          <w:sz w:val="20"/>
          <w:szCs w:val="20"/>
          <w:color w:val="auto"/>
        </w:rPr>
      </w:pPr>
      <w:r>
        <w:rPr>
          <w:rFonts w:ascii="Times New Roman" w:cs="Times New Roman" w:eastAsia="Times New Roman" w:hAnsi="Times New Roman"/>
          <w:sz w:val="20"/>
          <w:szCs w:val="20"/>
          <w:color w:val="auto"/>
        </w:rPr>
        <w:t>compliance with the FCPA and have instituted and maintain, and will continue to maintain, policies and procedures designed to ensure, and which are reasonably expected to continue to ensure, continued compliance therewith.</w:t>
      </w:r>
    </w:p>
    <w:p>
      <w:pPr>
        <w:spacing w:after="0" w:line="149" w:lineRule="exact"/>
        <w:rPr>
          <w:sz w:val="20"/>
          <w:szCs w:val="20"/>
          <w:color w:val="auto"/>
        </w:rPr>
      </w:pPr>
    </w:p>
    <w:p>
      <w:pPr>
        <w:jc w:val="both"/>
        <w:ind w:left="460" w:firstLine="644"/>
        <w:spacing w:after="0" w:line="218" w:lineRule="auto"/>
        <w:tabs>
          <w:tab w:leader="none" w:pos="180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Money Laundering Laws</w:t>
      </w:r>
      <w:r>
        <w:rPr>
          <w:rFonts w:ascii="Times New Roman" w:cs="Times New Roman" w:eastAsia="Times New Roman" w:hAnsi="Times New Roman"/>
          <w:sz w:val="20"/>
          <w:szCs w:val="20"/>
          <w:color w:val="auto"/>
        </w:rPr>
        <w:t>.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0"/>
          <w:szCs w:val="20"/>
          <w:u w:val="single" w:color="auto"/>
          <w:color w:val="auto"/>
        </w:rPr>
        <w:t>Money Laundering Laws</w:t>
      </w:r>
      <w:r>
        <w:rPr>
          <w:rFonts w:ascii="Times New Roman" w:cs="Times New Roman" w:eastAsia="Times New Roman" w:hAnsi="Times New Roman"/>
          <w:sz w:val="20"/>
          <w:szCs w:val="20"/>
          <w:color w:val="auto"/>
        </w:rPr>
        <w:t>”) and no action, suit, investigation or proceeding by or before any court or governmental agency, authority or body or any arbitrator involving the Company or any of its Subsidiaries with respect to the Money Laundering Laws is pending or, to the best of the Company’s knowledge, threatened.</w:t>
      </w:r>
    </w:p>
    <w:p>
      <w:pPr>
        <w:spacing w:after="0" w:line="151" w:lineRule="exact"/>
        <w:rPr>
          <w:sz w:val="20"/>
          <w:szCs w:val="20"/>
          <w:color w:val="auto"/>
        </w:rPr>
      </w:pPr>
    </w:p>
    <w:p>
      <w:pPr>
        <w:ind w:left="460" w:firstLine="648"/>
        <w:spacing w:after="0" w:line="222" w:lineRule="auto"/>
        <w:rPr>
          <w:sz w:val="20"/>
          <w:szCs w:val="20"/>
          <w:color w:val="auto"/>
        </w:rPr>
      </w:pPr>
      <w:r>
        <w:rPr>
          <w:rFonts w:ascii="Times New Roman" w:cs="Times New Roman" w:eastAsia="Times New Roman" w:hAnsi="Times New Roman"/>
          <w:sz w:val="20"/>
          <w:szCs w:val="20"/>
          <w:color w:val="auto"/>
        </w:rPr>
        <w:t xml:space="preserve">(xl)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Neither the Company nor any of its Subsidiaries, nor any director or officer thereof, nor, to the Company’s knowledge, any employee, agent, affiliate or representative of the Company or any of its Subsidiaries, is currently or is</w:t>
      </w:r>
    </w:p>
    <w:p>
      <w:pPr>
        <w:spacing w:after="0" w:line="2" w:lineRule="exact"/>
        <w:rPr>
          <w:sz w:val="20"/>
          <w:szCs w:val="20"/>
          <w:color w:val="auto"/>
        </w:rPr>
      </w:pPr>
    </w:p>
    <w:p>
      <w:pPr>
        <w:ind w:left="460"/>
        <w:spacing w:after="0" w:line="215" w:lineRule="auto"/>
        <w:rPr>
          <w:sz w:val="20"/>
          <w:szCs w:val="20"/>
          <w:color w:val="auto"/>
        </w:rPr>
      </w:pPr>
      <w:r>
        <w:rPr>
          <w:rFonts w:ascii="Times New Roman" w:cs="Times New Roman" w:eastAsia="Times New Roman" w:hAnsi="Times New Roman"/>
          <w:sz w:val="19"/>
          <w:szCs w:val="19"/>
          <w:color w:val="auto"/>
        </w:rPr>
        <w:t>owned or controlled by an individual or entity that is subject to any sanctions administered or enforced by the United States government (including, without limitation, the Office of Foreign Assets Control of the United States Department of the Treasury), the</w:t>
      </w:r>
    </w:p>
    <w:p>
      <w:pPr>
        <w:ind w:left="460"/>
        <w:spacing w:after="0" w:line="204" w:lineRule="auto"/>
        <w:rPr>
          <w:sz w:val="20"/>
          <w:szCs w:val="20"/>
          <w:color w:val="auto"/>
        </w:rPr>
      </w:pPr>
      <w:r>
        <w:rPr>
          <w:rFonts w:ascii="Times New Roman" w:cs="Times New Roman" w:eastAsia="Times New Roman" w:hAnsi="Times New Roman"/>
          <w:sz w:val="20"/>
          <w:szCs w:val="20"/>
          <w:color w:val="auto"/>
        </w:rPr>
        <w:t>United Nations Security Council, the European Union, His Majesty’s Treasury or other relevant sanctions authority (collectively,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or is located, organized or resident in a country or territory that is the subject or target of Sanctions; and the Company</w:t>
      </w:r>
    </w:p>
    <w:p>
      <w:pPr>
        <w:ind w:left="460"/>
        <w:spacing w:after="0" w:line="211" w:lineRule="auto"/>
        <w:rPr>
          <w:sz w:val="20"/>
          <w:szCs w:val="20"/>
          <w:color w:val="auto"/>
        </w:rPr>
      </w:pPr>
      <w:r>
        <w:rPr>
          <w:rFonts w:ascii="Times New Roman" w:cs="Times New Roman" w:eastAsia="Times New Roman" w:hAnsi="Times New Roman"/>
          <w:sz w:val="20"/>
          <w:szCs w:val="20"/>
          <w:color w:val="auto"/>
        </w:rPr>
        <w:t>will not directly or indirectly use the proceeds of the sale of the Securities, or lend, contribute or otherwise make available such</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proceeds to any Subsidiary, or any joint venture partner or other person or entity, for the purpose of financing or facilitating the activities of or business of any person or entity, or in any country or territory, that currently or at the time of such financing or</w:t>
      </w:r>
    </w:p>
    <w:p>
      <w:pPr>
        <w:ind w:left="460"/>
        <w:spacing w:after="0" w:line="223" w:lineRule="auto"/>
        <w:rPr>
          <w:sz w:val="20"/>
          <w:szCs w:val="20"/>
          <w:color w:val="auto"/>
        </w:rPr>
      </w:pPr>
      <w:r>
        <w:rPr>
          <w:rFonts w:ascii="Times New Roman" w:cs="Times New Roman" w:eastAsia="Times New Roman" w:hAnsi="Times New Roman"/>
          <w:sz w:val="19"/>
          <w:szCs w:val="19"/>
          <w:color w:val="auto"/>
        </w:rPr>
        <w:t>facilitation is the subject of any Sanctions or in any other manner that will result in a violation by any person or entity (including any</w:t>
      </w:r>
    </w:p>
    <w:p>
      <w:pPr>
        <w:ind w:left="460"/>
        <w:spacing w:after="0" w:line="204" w:lineRule="auto"/>
        <w:rPr>
          <w:sz w:val="20"/>
          <w:szCs w:val="20"/>
          <w:color w:val="auto"/>
        </w:rPr>
      </w:pPr>
      <w:r>
        <w:rPr>
          <w:rFonts w:ascii="Times New Roman" w:cs="Times New Roman" w:eastAsia="Times New Roman" w:hAnsi="Times New Roman"/>
          <w:sz w:val="20"/>
          <w:szCs w:val="20"/>
          <w:color w:val="auto"/>
        </w:rPr>
        <w:t>person participating in the transactions contemplated by this Agreement) of any Sanctions. Since April 24, 2019, the Company and its Subsidiaries have not knowingly engaged in and are not now knowingly engaged in any dealings or transactions with any person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or entity, or in any country or territory, that at the time of the dealing or transaction is or was the subject of Sanctions.</w:t>
      </w:r>
    </w:p>
    <w:p>
      <w:pPr>
        <w:spacing w:after="0" w:line="167" w:lineRule="exact"/>
        <w:rPr>
          <w:sz w:val="20"/>
          <w:szCs w:val="20"/>
          <w:color w:val="auto"/>
        </w:rPr>
      </w:pPr>
    </w:p>
    <w:p>
      <w:pPr>
        <w:ind w:left="460" w:firstLine="648"/>
        <w:spacing w:after="0" w:line="215" w:lineRule="auto"/>
        <w:rPr>
          <w:sz w:val="20"/>
          <w:szCs w:val="20"/>
          <w:color w:val="auto"/>
        </w:rPr>
      </w:pPr>
      <w:r>
        <w:rPr>
          <w:rFonts w:ascii="Times New Roman" w:cs="Times New Roman" w:eastAsia="Times New Roman" w:hAnsi="Times New Roman"/>
          <w:sz w:val="20"/>
          <w:szCs w:val="20"/>
          <w:color w:val="auto"/>
        </w:rPr>
        <w:t xml:space="preserve">(xli) </w:t>
      </w:r>
      <w:r>
        <w:rPr>
          <w:rFonts w:ascii="Times New Roman" w:cs="Times New Roman" w:eastAsia="Times New Roman" w:hAnsi="Times New Roman"/>
          <w:sz w:val="20"/>
          <w:szCs w:val="20"/>
          <w:u w:val="single" w:color="auto"/>
          <w:color w:val="auto"/>
        </w:rPr>
        <w:t>Outbound Investment Security Program</w:t>
      </w:r>
      <w:r>
        <w:rPr>
          <w:rFonts w:ascii="Times New Roman" w:cs="Times New Roman" w:eastAsia="Times New Roman" w:hAnsi="Times New Roman"/>
          <w:sz w:val="20"/>
          <w:szCs w:val="20"/>
          <w:color w:val="auto"/>
        </w:rPr>
        <w:t>. Neither the Company nor any of its Subsidiaries is a “covered foreign person”, as that term is defined in 31 C.F.R. § 850.209. Neither the Company nor any of its Subsidiaries currently engages, or has</w:t>
      </w:r>
    </w:p>
    <w:p>
      <w:pPr>
        <w:ind w:left="460"/>
        <w:spacing w:after="0" w:line="212" w:lineRule="auto"/>
        <w:rPr>
          <w:sz w:val="20"/>
          <w:szCs w:val="20"/>
          <w:color w:val="auto"/>
        </w:rPr>
      </w:pPr>
      <w:r>
        <w:rPr>
          <w:rFonts w:ascii="Times New Roman" w:cs="Times New Roman" w:eastAsia="Times New Roman" w:hAnsi="Times New Roman"/>
          <w:sz w:val="20"/>
          <w:szCs w:val="20"/>
          <w:color w:val="auto"/>
        </w:rPr>
        <w:t>plans to engage, directly or indirectly, in a “covered activity”, as that term is defined in 31 C.F.R. § 850.208 (“</w:t>
      </w:r>
      <w:r>
        <w:rPr>
          <w:rFonts w:ascii="Times New Roman" w:cs="Times New Roman" w:eastAsia="Times New Roman" w:hAnsi="Times New Roman"/>
          <w:sz w:val="20"/>
          <w:szCs w:val="20"/>
          <w:u w:val="single" w:color="auto"/>
          <w:color w:val="auto"/>
        </w:rPr>
        <w:t>Covered Activity</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left="460" w:right="20"/>
        <w:spacing w:after="0" w:line="204" w:lineRule="auto"/>
        <w:rPr>
          <w:sz w:val="20"/>
          <w:szCs w:val="20"/>
          <w:color w:val="auto"/>
        </w:rPr>
      </w:pPr>
      <w:r>
        <w:rPr>
          <w:rFonts w:ascii="Times New Roman" w:cs="Times New Roman" w:eastAsia="Times New Roman" w:hAnsi="Times New Roman"/>
          <w:sz w:val="20"/>
          <w:szCs w:val="20"/>
          <w:color w:val="auto"/>
        </w:rPr>
        <w:t>The Company does not have any joint ventures that engages in or plans to engage in any Covered Activity. The Company also does not, directly or indirectly, hold a board seat on, have a voting or equity interest in, or have any contractual power to direct or cause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direction of the management or policies of any person or persons that engages or plans to engage in any Covered Activity.</w:t>
      </w:r>
    </w:p>
    <w:p>
      <w:pPr>
        <w:spacing w:after="0" w:line="163" w:lineRule="exact"/>
        <w:rPr>
          <w:sz w:val="20"/>
          <w:szCs w:val="20"/>
          <w:color w:val="auto"/>
        </w:rPr>
      </w:pPr>
    </w:p>
    <w:p>
      <w:pPr>
        <w:ind w:left="460" w:firstLine="648"/>
        <w:spacing w:after="0" w:line="217" w:lineRule="auto"/>
        <w:rPr>
          <w:sz w:val="20"/>
          <w:szCs w:val="20"/>
          <w:color w:val="auto"/>
        </w:rPr>
      </w:pPr>
      <w:r>
        <w:rPr>
          <w:rFonts w:ascii="Times New Roman" w:cs="Times New Roman" w:eastAsia="Times New Roman" w:hAnsi="Times New Roman"/>
          <w:sz w:val="20"/>
          <w:szCs w:val="20"/>
          <w:color w:val="auto"/>
        </w:rPr>
        <w:t xml:space="preserve">(xlii) </w:t>
      </w:r>
      <w:r>
        <w:rPr>
          <w:rFonts w:ascii="Times New Roman" w:cs="Times New Roman" w:eastAsia="Times New Roman" w:hAnsi="Times New Roman"/>
          <w:sz w:val="20"/>
          <w:szCs w:val="20"/>
          <w:u w:val="single" w:color="auto"/>
          <w:color w:val="auto"/>
        </w:rPr>
        <w:t>Lending Relationship</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disclosed in the Registration Statement, the General Disclosure Package and the Prospectus, the Company (i) does not have any material lending or other relationship with any banking or lending affiliate of any</w:t>
      </w:r>
    </w:p>
    <w:p>
      <w:pPr>
        <w:spacing w:after="0" w:line="2" w:lineRule="exact"/>
        <w:rPr>
          <w:sz w:val="20"/>
          <w:szCs w:val="20"/>
          <w:color w:val="auto"/>
        </w:rPr>
      </w:pPr>
    </w:p>
    <w:p>
      <w:pPr>
        <w:ind w:left="460" w:right="20"/>
        <w:spacing w:after="0" w:line="228" w:lineRule="auto"/>
        <w:rPr>
          <w:sz w:val="20"/>
          <w:szCs w:val="20"/>
          <w:color w:val="auto"/>
        </w:rPr>
      </w:pPr>
      <w:r>
        <w:rPr>
          <w:rFonts w:ascii="Times New Roman" w:cs="Times New Roman" w:eastAsia="Times New Roman" w:hAnsi="Times New Roman"/>
          <w:sz w:val="20"/>
          <w:szCs w:val="20"/>
          <w:color w:val="auto"/>
        </w:rPr>
        <w:t>Underwriter and (ii) does not intend to use any of the proceeds from the sale of the Securities to repay any outstanding debt owed to any affiliate of any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040"/>
          </w:cols>
          <w:pgMar w:left="520" w:top="1399" w:right="339" w:bottom="1440" w:gutter="0" w:footer="0" w:header="0"/>
        </w:sectPr>
      </w:pPr>
    </w:p>
    <w:bookmarkStart w:id="21" w:name="page22"/>
    <w:bookmarkEnd w:id="21"/>
    <w:p>
      <w:pPr>
        <w:ind w:left="1100"/>
        <w:spacing w:after="0"/>
        <w:tabs>
          <w:tab w:leader="none" w:pos="1720" w:val="left"/>
        </w:tabs>
        <w:rPr>
          <w:sz w:val="20"/>
          <w:szCs w:val="20"/>
          <w:color w:val="auto"/>
        </w:rPr>
      </w:pPr>
      <w:r>
        <w:rPr>
          <w:rFonts w:ascii="Times New Roman" w:cs="Times New Roman" w:eastAsia="Times New Roman" w:hAnsi="Times New Roman"/>
          <w:sz w:val="20"/>
          <w:szCs w:val="20"/>
          <w:color w:val="auto"/>
        </w:rPr>
        <w:t>(xliii)</w:t>
      </w:r>
      <w:r>
        <w:rPr>
          <w:sz w:val="20"/>
          <w:szCs w:val="20"/>
          <w:color w:val="auto"/>
        </w:rPr>
        <w:tab/>
      </w:r>
      <w:r>
        <w:rPr>
          <w:rFonts w:ascii="Times New Roman" w:cs="Times New Roman" w:eastAsia="Times New Roman" w:hAnsi="Times New Roman"/>
          <w:sz w:val="20"/>
          <w:szCs w:val="20"/>
          <w:u w:val="single" w:color="auto"/>
          <w:color w:val="auto"/>
        </w:rPr>
        <w:t>Maintenance of Rating</w:t>
      </w:r>
      <w:r>
        <w:rPr>
          <w:rFonts w:ascii="Times New Roman" w:cs="Times New Roman" w:eastAsia="Times New Roman" w:hAnsi="Times New Roman"/>
          <w:sz w:val="20"/>
          <w:szCs w:val="20"/>
          <w:color w:val="auto"/>
        </w:rPr>
        <w:t>. The Company has no debt securities or preferred stock that is rated by any “nationally</w:t>
      </w:r>
    </w:p>
    <w:p>
      <w:pPr>
        <w:jc w:val="both"/>
        <w:ind w:left="460" w:right="20"/>
        <w:spacing w:after="0" w:line="221" w:lineRule="auto"/>
        <w:rPr>
          <w:sz w:val="20"/>
          <w:szCs w:val="20"/>
          <w:color w:val="auto"/>
        </w:rPr>
      </w:pPr>
      <w:r>
        <w:rPr>
          <w:rFonts w:ascii="Times New Roman" w:cs="Times New Roman" w:eastAsia="Times New Roman" w:hAnsi="Times New Roman"/>
          <w:sz w:val="20"/>
          <w:szCs w:val="20"/>
          <w:color w:val="auto"/>
        </w:rPr>
        <w:t>recognized statistical rating organization” (as that term is defined by the Commission for purposes of Rule 436(g)(2) under the 1933 Act).</w:t>
      </w:r>
    </w:p>
    <w:p>
      <w:pPr>
        <w:spacing w:after="0" w:line="15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20"/>
          <w:szCs w:val="20"/>
          <w:color w:val="auto"/>
        </w:rPr>
        <w:t>(xliv)</w:t>
      </w:r>
      <w:r>
        <w:rPr>
          <w:sz w:val="20"/>
          <w:szCs w:val="20"/>
          <w:color w:val="auto"/>
        </w:rPr>
        <w:tab/>
      </w:r>
      <w:r>
        <w:rPr>
          <w:rFonts w:ascii="Times New Roman" w:cs="Times New Roman" w:eastAsia="Times New Roman" w:hAnsi="Times New Roman"/>
          <w:sz w:val="20"/>
          <w:szCs w:val="20"/>
          <w:u w:val="single" w:color="auto"/>
          <w:color w:val="auto"/>
        </w:rPr>
        <w:t>Privacy and Data Protection</w:t>
      </w:r>
      <w:r>
        <w:rPr>
          <w:rFonts w:ascii="Times New Roman" w:cs="Times New Roman" w:eastAsia="Times New Roman" w:hAnsi="Times New Roman"/>
          <w:sz w:val="20"/>
          <w:szCs w:val="20"/>
          <w:color w:val="auto"/>
        </w:rPr>
        <w:t>. The Company’s and its Subsidiaries’ information technology assets and equipment,</w:t>
      </w:r>
    </w:p>
    <w:p>
      <w:pPr>
        <w:jc w:val="both"/>
        <w:ind w:left="460"/>
        <w:spacing w:after="0" w:line="215" w:lineRule="auto"/>
        <w:rPr>
          <w:sz w:val="20"/>
          <w:szCs w:val="20"/>
          <w:color w:val="auto"/>
        </w:rPr>
      </w:pPr>
      <w:r>
        <w:rPr>
          <w:rFonts w:ascii="Times New Roman" w:cs="Times New Roman" w:eastAsia="Times New Roman" w:hAnsi="Times New Roman"/>
          <w:sz w:val="19"/>
          <w:szCs w:val="19"/>
          <w:color w:val="auto"/>
        </w:rPr>
        <w:t>computers, systems, networks, hardware, software, websites, applications, and databases (collectively, “</w:t>
      </w:r>
      <w:r>
        <w:rPr>
          <w:rFonts w:ascii="Times New Roman" w:cs="Times New Roman" w:eastAsia="Times New Roman" w:hAnsi="Times New Roman"/>
          <w:sz w:val="19"/>
          <w:szCs w:val="19"/>
          <w:u w:val="single" w:color="auto"/>
          <w:color w:val="auto"/>
        </w:rPr>
        <w:t>IT Systems</w:t>
      </w:r>
      <w:r>
        <w:rPr>
          <w:rFonts w:ascii="Times New Roman" w:cs="Times New Roman" w:eastAsia="Times New Roman" w:hAnsi="Times New Roman"/>
          <w:sz w:val="19"/>
          <w:szCs w:val="19"/>
          <w:color w:val="auto"/>
        </w:rPr>
        <w:t>”) are adequate for, and operate and perform in all material respects as required in connection with the operation of the business of the Company and</w:t>
      </w:r>
    </w:p>
    <w:p>
      <w:pPr>
        <w:ind w:left="460"/>
        <w:spacing w:after="0" w:line="211" w:lineRule="auto"/>
        <w:rPr>
          <w:sz w:val="20"/>
          <w:szCs w:val="20"/>
          <w:color w:val="auto"/>
        </w:rPr>
      </w:pPr>
      <w:r>
        <w:rPr>
          <w:rFonts w:ascii="Times New Roman" w:cs="Times New Roman" w:eastAsia="Times New Roman" w:hAnsi="Times New Roman"/>
          <w:sz w:val="20"/>
          <w:szCs w:val="20"/>
          <w:color w:val="auto"/>
        </w:rPr>
        <w:t>its Subsidiaries as currently conducted, free and clear of all material bugs, errors, defects, Trojan horses, time bombs, malware and</w:t>
      </w:r>
    </w:p>
    <w:p>
      <w:pPr>
        <w:jc w:val="both"/>
        <w:ind w:left="460"/>
        <w:spacing w:after="0" w:line="215" w:lineRule="auto"/>
        <w:rPr>
          <w:sz w:val="20"/>
          <w:szCs w:val="20"/>
          <w:color w:val="auto"/>
        </w:rPr>
      </w:pPr>
      <w:r>
        <w:rPr>
          <w:rFonts w:ascii="Times New Roman" w:cs="Times New Roman" w:eastAsia="Times New Roman" w:hAnsi="Times New Roman"/>
          <w:sz w:val="19"/>
          <w:szCs w:val="19"/>
          <w:color w:val="auto"/>
        </w:rPr>
        <w:t>other corruptants. The Company and its Subsidiaries have implemented and maintained commercially reasonable physical, technical and administrative controls, policies, procedures, and safeguards to maintain and protect their material confidential information and</w:t>
      </w:r>
    </w:p>
    <w:p>
      <w:pPr>
        <w:ind w:left="460"/>
        <w:spacing w:after="0" w:line="211" w:lineRule="auto"/>
        <w:rPr>
          <w:sz w:val="20"/>
          <w:szCs w:val="20"/>
          <w:color w:val="auto"/>
        </w:rPr>
      </w:pPr>
      <w:r>
        <w:rPr>
          <w:rFonts w:ascii="Times New Roman" w:cs="Times New Roman" w:eastAsia="Times New Roman" w:hAnsi="Times New Roman"/>
          <w:sz w:val="20"/>
          <w:szCs w:val="20"/>
          <w:color w:val="auto"/>
        </w:rPr>
        <w:t>the integrity, continuous operation, redundancy and security of all IT Systems and data, including “Personal Data,” used in</w:t>
      </w:r>
    </w:p>
    <w:p>
      <w:pPr>
        <w:jc w:val="both"/>
        <w:ind w:left="460"/>
        <w:spacing w:after="0" w:line="204" w:lineRule="auto"/>
        <w:rPr>
          <w:sz w:val="20"/>
          <w:szCs w:val="20"/>
          <w:color w:val="auto"/>
        </w:rPr>
      </w:pPr>
      <w:r>
        <w:rPr>
          <w:rFonts w:ascii="Times New Roman" w:cs="Times New Roman" w:eastAsia="Times New Roman" w:hAnsi="Times New Roman"/>
          <w:sz w:val="20"/>
          <w:szCs w:val="20"/>
          <w:color w:val="auto"/>
        </w:rPr>
        <w:t>connection with their businesses. “Personal Data” means (i) a natural person’s name, street address, telephone number, e-mail address, photograph, social security number or tax identification number, driver’s license number, passport number, credit card</w:t>
      </w:r>
    </w:p>
    <w:p>
      <w:pPr>
        <w:ind w:left="460"/>
        <w:spacing w:after="0" w:line="211" w:lineRule="auto"/>
        <w:rPr>
          <w:sz w:val="20"/>
          <w:szCs w:val="20"/>
          <w:color w:val="auto"/>
        </w:rPr>
      </w:pPr>
      <w:r>
        <w:rPr>
          <w:rFonts w:ascii="Times New Roman" w:cs="Times New Roman" w:eastAsia="Times New Roman" w:hAnsi="Times New Roman"/>
          <w:sz w:val="20"/>
          <w:szCs w:val="20"/>
          <w:color w:val="auto"/>
        </w:rPr>
        <w:t>number, bank information, or customer or account number; (ii) any information which would qualify as “personally identifying</w:t>
      </w:r>
    </w:p>
    <w:p>
      <w:pPr>
        <w:spacing w:after="0" w:line="1" w:lineRule="exact"/>
        <w:rPr>
          <w:sz w:val="20"/>
          <w:szCs w:val="20"/>
          <w:color w:val="auto"/>
        </w:rPr>
      </w:pPr>
    </w:p>
    <w:p>
      <w:pPr>
        <w:jc w:val="both"/>
        <w:ind w:left="460"/>
        <w:spacing w:after="0" w:line="215" w:lineRule="auto"/>
        <w:rPr>
          <w:sz w:val="20"/>
          <w:szCs w:val="20"/>
          <w:color w:val="auto"/>
        </w:rPr>
      </w:pPr>
      <w:r>
        <w:rPr>
          <w:rFonts w:ascii="Times New Roman" w:cs="Times New Roman" w:eastAsia="Times New Roman" w:hAnsi="Times New Roman"/>
          <w:sz w:val="19"/>
          <w:szCs w:val="19"/>
          <w:color w:val="auto"/>
        </w:rPr>
        <w:t>information” under the Federal Trade Commission Act, as amended; (iii) if applicable to the Company, “personal data” as defined by the European Union General Data Protection Regulation (“</w:t>
      </w:r>
      <w:r>
        <w:rPr>
          <w:rFonts w:ascii="Times New Roman" w:cs="Times New Roman" w:eastAsia="Times New Roman" w:hAnsi="Times New Roman"/>
          <w:sz w:val="19"/>
          <w:szCs w:val="19"/>
          <w:u w:val="single" w:color="auto"/>
          <w:color w:val="auto"/>
        </w:rPr>
        <w:t>GDPR</w:t>
      </w:r>
      <w:r>
        <w:rPr>
          <w:rFonts w:ascii="Times New Roman" w:cs="Times New Roman" w:eastAsia="Times New Roman" w:hAnsi="Times New Roman"/>
          <w:sz w:val="19"/>
          <w:szCs w:val="19"/>
          <w:color w:val="auto"/>
        </w:rPr>
        <w:t>”); (iv) if applicable to the Company, any information which would</w:t>
      </w:r>
    </w:p>
    <w:p>
      <w:pPr>
        <w:ind w:left="460"/>
        <w:spacing w:after="0" w:line="211" w:lineRule="auto"/>
        <w:rPr>
          <w:sz w:val="20"/>
          <w:szCs w:val="20"/>
          <w:color w:val="auto"/>
        </w:rPr>
      </w:pPr>
      <w:r>
        <w:rPr>
          <w:rFonts w:ascii="Times New Roman" w:cs="Times New Roman" w:eastAsia="Times New Roman" w:hAnsi="Times New Roman"/>
          <w:sz w:val="20"/>
          <w:szCs w:val="20"/>
          <w:color w:val="auto"/>
        </w:rPr>
        <w:t>qualify as “protected health information” under the Health Insurance Portability and Accountability Act of 1996, as amended by</w:t>
      </w:r>
    </w:p>
    <w:p>
      <w:pPr>
        <w:jc w:val="both"/>
        <w:ind w:left="460" w:right="20"/>
        <w:spacing w:after="0" w:line="204" w:lineRule="auto"/>
        <w:rPr>
          <w:sz w:val="20"/>
          <w:szCs w:val="20"/>
          <w:color w:val="auto"/>
        </w:rPr>
      </w:pPr>
      <w:r>
        <w:rPr>
          <w:rFonts w:ascii="Times New Roman" w:cs="Times New Roman" w:eastAsia="Times New Roman" w:hAnsi="Times New Roman"/>
          <w:sz w:val="20"/>
          <w:szCs w:val="20"/>
          <w:color w:val="auto"/>
        </w:rPr>
        <w:t>HIPAA; and (v) any other piece of information that allows the identification of such natural person, or his or her family, or permits the collection or analysis of any data related to an identified person’s health or sexual orientation. To the Company’s knowledge,</w:t>
      </w:r>
    </w:p>
    <w:p>
      <w:pPr>
        <w:spacing w:after="0" w:line="1" w:lineRule="exact"/>
        <w:rPr>
          <w:sz w:val="20"/>
          <w:szCs w:val="20"/>
          <w:color w:val="auto"/>
        </w:rPr>
      </w:pPr>
    </w:p>
    <w:p>
      <w:pPr>
        <w:jc w:val="both"/>
        <w:ind w:left="460"/>
        <w:spacing w:after="0" w:line="204" w:lineRule="auto"/>
        <w:rPr>
          <w:sz w:val="20"/>
          <w:szCs w:val="20"/>
          <w:color w:val="auto"/>
        </w:rPr>
      </w:pPr>
      <w:r>
        <w:rPr>
          <w:rFonts w:ascii="Times New Roman" w:cs="Times New Roman" w:eastAsia="Times New Roman" w:hAnsi="Times New Roman"/>
          <w:sz w:val="20"/>
          <w:szCs w:val="20"/>
          <w:color w:val="auto"/>
        </w:rPr>
        <w:t>there have been no breaches, violations, outages or unauthorized uses of or accesses to same, except for those that have been remedied without material cost or liability or the duty to notify any other person, nor any incidents under internal review or</w:t>
      </w:r>
    </w:p>
    <w:p>
      <w:pPr>
        <w:ind w:left="460"/>
        <w:spacing w:after="0" w:line="223" w:lineRule="auto"/>
        <w:rPr>
          <w:sz w:val="20"/>
          <w:szCs w:val="20"/>
          <w:color w:val="auto"/>
        </w:rPr>
      </w:pPr>
      <w:r>
        <w:rPr>
          <w:rFonts w:ascii="Times New Roman" w:cs="Times New Roman" w:eastAsia="Times New Roman" w:hAnsi="Times New Roman"/>
          <w:sz w:val="19"/>
          <w:szCs w:val="19"/>
          <w:color w:val="auto"/>
        </w:rPr>
        <w:t>investigations relating to the same. The Company and its Subsidiaries are presently in material compliance with all applicable laws or</w:t>
      </w:r>
    </w:p>
    <w:p>
      <w:pPr>
        <w:jc w:val="both"/>
        <w:ind w:left="460"/>
        <w:spacing w:after="0" w:line="215" w:lineRule="auto"/>
        <w:rPr>
          <w:sz w:val="20"/>
          <w:szCs w:val="20"/>
          <w:color w:val="auto"/>
        </w:rPr>
      </w:pPr>
      <w:r>
        <w:rPr>
          <w:rFonts w:ascii="Times New Roman" w:cs="Times New Roman" w:eastAsia="Times New Roman" w:hAnsi="Times New Roman"/>
          <w:sz w:val="19"/>
          <w:szCs w:val="19"/>
          <w:color w:val="auto"/>
        </w:rPr>
        <w:t>statutes and all judgments, orders, rules and regulations of any court or arbitrator or governmental or regulatory authority, internal policies and contractual obligations relating to the privacy and security of IT Systems and Personal Data and to the protection of such</w:t>
      </w:r>
    </w:p>
    <w:p>
      <w:pPr>
        <w:ind w:left="460"/>
        <w:spacing w:after="0"/>
        <w:rPr>
          <w:sz w:val="20"/>
          <w:szCs w:val="20"/>
          <w:color w:val="auto"/>
        </w:rPr>
      </w:pPr>
      <w:r>
        <w:rPr>
          <w:rFonts w:ascii="Times New Roman" w:cs="Times New Roman" w:eastAsia="Times New Roman" w:hAnsi="Times New Roman"/>
          <w:sz w:val="20"/>
          <w:szCs w:val="20"/>
          <w:color w:val="auto"/>
        </w:rPr>
        <w:t>IT Systems and Personal Data from unauthorized use, access, misappropriation or modification.</w:t>
      </w:r>
    </w:p>
    <w:p>
      <w:pPr>
        <w:spacing w:after="0" w:line="180"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20"/>
          <w:szCs w:val="20"/>
          <w:color w:val="auto"/>
        </w:rPr>
        <w:t>(xlv)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have been and currently are in compliance with, the GDPR (collectively, the “</w:t>
      </w:r>
      <w:r>
        <w:rPr>
          <w:rFonts w:ascii="Times New Roman" w:cs="Times New Roman" w:eastAsia="Times New Roman" w:hAnsi="Times New Roman"/>
          <w:sz w:val="20"/>
          <w:szCs w:val="20"/>
          <w:u w:val="single" w:color="auto"/>
          <w:color w:val="auto"/>
        </w:rPr>
        <w:t>Privacy Laws</w:t>
      </w:r>
      <w:r>
        <w:rPr>
          <w:rFonts w:ascii="Times New Roman" w:cs="Times New Roman" w:eastAsia="Times New Roman" w:hAnsi="Times New Roman"/>
          <w:sz w:val="20"/>
          <w:szCs w:val="20"/>
          <w:color w:val="auto"/>
        </w:rPr>
        <w:t>”).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20"/>
          <w:szCs w:val="20"/>
          <w:u w:val="single" w:color="auto"/>
          <w:color w:val="auto"/>
        </w:rPr>
        <w:t>Policies</w:t>
      </w:r>
      <w:r>
        <w:rPr>
          <w:rFonts w:ascii="Times New Roman" w:cs="Times New Roman" w:eastAsia="Times New Roman" w:hAnsi="Times New Roman"/>
          <w:sz w:val="20"/>
          <w:szCs w:val="20"/>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040"/>
          </w:cols>
          <w:pgMar w:left="520" w:top="1394" w:right="339" w:bottom="1440" w:gutter="0" w:footer="0" w:header="0"/>
        </w:sectPr>
      </w:pPr>
    </w:p>
    <w:bookmarkStart w:id="22" w:name="page23"/>
    <w:bookmarkEnd w:id="22"/>
    <w:p>
      <w:pPr>
        <w:jc w:val="both"/>
        <w:ind w:left="460" w:right="20" w:firstLine="648"/>
        <w:spacing w:after="0"/>
        <w:rPr>
          <w:sz w:val="20"/>
          <w:szCs w:val="20"/>
          <w:color w:val="auto"/>
        </w:rPr>
      </w:pPr>
      <w:r>
        <w:rPr>
          <w:rFonts w:ascii="Times New Roman" w:cs="Times New Roman" w:eastAsia="Times New Roman" w:hAnsi="Times New Roman"/>
          <w:sz w:val="20"/>
          <w:szCs w:val="20"/>
          <w:color w:val="auto"/>
        </w:rPr>
        <w:t xml:space="preserve">(xlvi) </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The Company owns or leases all such real properties as are necessary to the conduct of its operations as presently conducted in all material respects.</w:t>
      </w:r>
    </w:p>
    <w:p>
      <w:pPr>
        <w:spacing w:after="0" w:line="148" w:lineRule="exact"/>
        <w:rPr>
          <w:sz w:val="20"/>
          <w:szCs w:val="20"/>
          <w:color w:val="auto"/>
        </w:rPr>
      </w:pPr>
    </w:p>
    <w:p>
      <w:pPr>
        <w:jc w:val="both"/>
        <w:ind w:left="460" w:firstLine="648"/>
        <w:spacing w:after="0" w:line="230" w:lineRule="auto"/>
        <w:rPr>
          <w:sz w:val="20"/>
          <w:szCs w:val="20"/>
          <w:color w:val="auto"/>
        </w:rPr>
      </w:pPr>
      <w:r>
        <w:rPr>
          <w:rFonts w:ascii="Times New Roman" w:cs="Times New Roman" w:eastAsia="Times New Roman" w:hAnsi="Times New Roman"/>
          <w:sz w:val="20"/>
          <w:szCs w:val="20"/>
          <w:color w:val="auto"/>
        </w:rPr>
        <w:t xml:space="preserve">(xlvii) </w:t>
      </w:r>
      <w:r>
        <w:rPr>
          <w:rFonts w:ascii="Times New Roman" w:cs="Times New Roman" w:eastAsia="Times New Roman" w:hAnsi="Times New Roman"/>
          <w:sz w:val="20"/>
          <w:szCs w:val="20"/>
          <w:u w:val="single" w:color="auto"/>
          <w:color w:val="auto"/>
        </w:rPr>
        <w:t>Absence of Transfer Taxes</w:t>
      </w:r>
      <w:r>
        <w:rPr>
          <w:rFonts w:ascii="Times New Roman" w:cs="Times New Roman" w:eastAsia="Times New Roman" w:hAnsi="Times New Roman"/>
          <w:sz w:val="20"/>
          <w:szCs w:val="20"/>
          <w:color w:val="auto"/>
        </w:rPr>
        <w:t>. 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Securities.</w:t>
      </w:r>
    </w:p>
    <w:p>
      <w:pPr>
        <w:spacing w:after="0" w:line="149" w:lineRule="exact"/>
        <w:rPr>
          <w:sz w:val="20"/>
          <w:szCs w:val="20"/>
          <w:color w:val="auto"/>
        </w:rPr>
      </w:pPr>
    </w:p>
    <w:p>
      <w:pPr>
        <w:jc w:val="both"/>
        <w:ind w:left="460" w:firstLine="648"/>
        <w:spacing w:after="0" w:line="234" w:lineRule="auto"/>
        <w:rPr>
          <w:sz w:val="20"/>
          <w:szCs w:val="20"/>
          <w:color w:val="auto"/>
        </w:rPr>
      </w:pPr>
      <w:r>
        <w:rPr>
          <w:rFonts w:ascii="Times New Roman" w:cs="Times New Roman" w:eastAsia="Times New Roman" w:hAnsi="Times New Roman"/>
          <w:sz w:val="19"/>
          <w:szCs w:val="19"/>
          <w:color w:val="auto"/>
        </w:rPr>
        <w:t xml:space="preserve">(xlviii)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The Company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established</w:t>
      </w:r>
    </w:p>
    <w:p>
      <w:pPr>
        <w:spacing w:after="0" w:line="1" w:lineRule="exact"/>
        <w:rPr>
          <w:sz w:val="20"/>
          <w:szCs w:val="20"/>
          <w:color w:val="auto"/>
        </w:rPr>
      </w:pPr>
    </w:p>
    <w:p>
      <w:pPr>
        <w:jc w:val="both"/>
        <w:ind w:left="460"/>
        <w:spacing w:after="0" w:line="204" w:lineRule="auto"/>
        <w:rPr>
          <w:sz w:val="20"/>
          <w:szCs w:val="20"/>
          <w:color w:val="auto"/>
        </w:rPr>
      </w:pPr>
      <w:r>
        <w:rPr>
          <w:rFonts w:ascii="Times New Roman" w:cs="Times New Roman" w:eastAsia="Times New Roman" w:hAnsi="Times New Roman"/>
          <w:sz w:val="20"/>
          <w:szCs w:val="20"/>
          <w:color w:val="auto"/>
        </w:rPr>
        <w:t>or maintained by the Company, or its “ERISA Affiliates” (as defined below) are in compliance in all material respects with ERISA. “ERISA Affiliates” means, with respect to the Company, any member of any group of organizations described in Sections 414(b),</w:t>
      </w:r>
    </w:p>
    <w:p>
      <w:pPr>
        <w:ind w:left="460"/>
        <w:spacing w:after="0" w:line="211" w:lineRule="auto"/>
        <w:rPr>
          <w:sz w:val="20"/>
          <w:szCs w:val="20"/>
          <w:color w:val="auto"/>
        </w:rPr>
      </w:pPr>
      <w:r>
        <w:rPr>
          <w:rFonts w:ascii="Times New Roman" w:cs="Times New Roman" w:eastAsia="Times New Roman" w:hAnsi="Times New Roman"/>
          <w:sz w:val="20"/>
          <w:szCs w:val="20"/>
          <w:color w:val="auto"/>
        </w:rPr>
        <w:t>(c), (m) or (o) of the Internal Revenue Code of 1986, as amended, and the regulations and published interpretations thereunder (the</w:t>
      </w:r>
    </w:p>
    <w:p>
      <w:pPr>
        <w:spacing w:after="0" w:line="1" w:lineRule="exact"/>
        <w:rPr>
          <w:sz w:val="20"/>
          <w:szCs w:val="20"/>
          <w:color w:val="auto"/>
        </w:rPr>
      </w:pPr>
    </w:p>
    <w:p>
      <w:pPr>
        <w:jc w:val="both"/>
        <w:ind w:left="46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of which the Company is a member. No “reportable event” (as defined under ERISA) has occurred or is reasonably expected to occur with respect to any “employee benefit plan” established or maintained by the Company, or any of its ERISA</w:t>
      </w:r>
    </w:p>
    <w:p>
      <w:pPr>
        <w:ind w:left="460"/>
        <w:spacing w:after="0" w:line="211" w:lineRule="auto"/>
        <w:rPr>
          <w:sz w:val="20"/>
          <w:szCs w:val="20"/>
          <w:color w:val="auto"/>
        </w:rPr>
      </w:pPr>
      <w:r>
        <w:rPr>
          <w:rFonts w:ascii="Times New Roman" w:cs="Times New Roman" w:eastAsia="Times New Roman" w:hAnsi="Times New Roman"/>
          <w:sz w:val="20"/>
          <w:szCs w:val="20"/>
          <w:color w:val="auto"/>
        </w:rPr>
        <w:t>Affiliates. No “employee benefit plan” established or maintained by the Company or any of its ERISA Affiliates, if such “employee</w:t>
      </w:r>
    </w:p>
    <w:p>
      <w:pPr>
        <w:spacing w:after="0" w:line="1" w:lineRule="exact"/>
        <w:rPr>
          <w:sz w:val="20"/>
          <w:szCs w:val="20"/>
          <w:color w:val="auto"/>
        </w:rPr>
      </w:pPr>
    </w:p>
    <w:p>
      <w:pPr>
        <w:jc w:val="both"/>
        <w:ind w:left="460"/>
        <w:spacing w:after="0" w:line="204" w:lineRule="auto"/>
        <w:rPr>
          <w:sz w:val="20"/>
          <w:szCs w:val="20"/>
          <w:color w:val="auto"/>
        </w:rPr>
      </w:pPr>
      <w:r>
        <w:rPr>
          <w:rFonts w:ascii="Times New Roman" w:cs="Times New Roman" w:eastAsia="Times New Roman" w:hAnsi="Times New Roman"/>
          <w:sz w:val="20"/>
          <w:szCs w:val="20"/>
          <w:color w:val="auto"/>
        </w:rPr>
        <w:t>benefit plan” were terminated, would have any “amount of unfunded benefit liabilities” (as defined under ERISA). Neither the Company nor any of its ERISA Affiliates has incurred or reasonably expects to incur any liability under (i) Title IV of ERISA with</w:t>
      </w:r>
    </w:p>
    <w:p>
      <w:pPr>
        <w:ind w:left="460"/>
        <w:spacing w:after="0" w:line="211" w:lineRule="auto"/>
        <w:rPr>
          <w:sz w:val="20"/>
          <w:szCs w:val="20"/>
          <w:color w:val="auto"/>
        </w:rPr>
      </w:pPr>
      <w:r>
        <w:rPr>
          <w:rFonts w:ascii="Times New Roman" w:cs="Times New Roman" w:eastAsia="Times New Roman" w:hAnsi="Times New Roman"/>
          <w:sz w:val="20"/>
          <w:szCs w:val="20"/>
          <w:color w:val="auto"/>
        </w:rPr>
        <w:t>respect to termination of, or withdrawal from, any “employee benefit plan” or (ii) Sections 412, 4971, 4975 or 4980B of the Code.</w:t>
      </w:r>
    </w:p>
    <w:p>
      <w:pPr>
        <w:spacing w:after="0" w:line="1" w:lineRule="exact"/>
        <w:rPr>
          <w:sz w:val="20"/>
          <w:szCs w:val="20"/>
          <w:color w:val="auto"/>
        </w:rPr>
      </w:pPr>
    </w:p>
    <w:p>
      <w:pPr>
        <w:jc w:val="both"/>
        <w:ind w:left="460"/>
        <w:spacing w:after="0" w:line="215" w:lineRule="auto"/>
        <w:rPr>
          <w:sz w:val="20"/>
          <w:szCs w:val="20"/>
          <w:color w:val="auto"/>
        </w:rPr>
      </w:pPr>
      <w:r>
        <w:rPr>
          <w:rFonts w:ascii="Times New Roman" w:cs="Times New Roman" w:eastAsia="Times New Roman" w:hAnsi="Times New Roman"/>
          <w:sz w:val="19"/>
          <w:szCs w:val="19"/>
          <w:color w:val="auto"/>
        </w:rPr>
        <w:t>Each “employee benefit plan” established or maintained by the Company or any of its ERISA Affiliates that is intended to be qualified under Section 401(a) of the Code is so qualified and nothing has occurred, whether by action or failure to act, which would</w:t>
      </w:r>
    </w:p>
    <w:p>
      <w:pPr>
        <w:ind w:left="460"/>
        <w:spacing w:after="0"/>
        <w:rPr>
          <w:sz w:val="20"/>
          <w:szCs w:val="20"/>
          <w:color w:val="auto"/>
        </w:rPr>
      </w:pPr>
      <w:r>
        <w:rPr>
          <w:rFonts w:ascii="Times New Roman" w:cs="Times New Roman" w:eastAsia="Times New Roman" w:hAnsi="Times New Roman"/>
          <w:sz w:val="20"/>
          <w:szCs w:val="20"/>
          <w:color w:val="auto"/>
        </w:rPr>
        <w:t>cause the loss of such qualification.</w:t>
      </w:r>
    </w:p>
    <w:p>
      <w:pPr>
        <w:spacing w:after="0" w:line="153" w:lineRule="exact"/>
        <w:rPr>
          <w:sz w:val="20"/>
          <w:szCs w:val="20"/>
          <w:color w:val="auto"/>
        </w:rPr>
      </w:pPr>
    </w:p>
    <w:p>
      <w:pPr>
        <w:jc w:val="both"/>
        <w:ind w:left="460" w:firstLine="648"/>
        <w:spacing w:after="0" w:line="230" w:lineRule="auto"/>
        <w:rPr>
          <w:sz w:val="20"/>
          <w:szCs w:val="20"/>
          <w:color w:val="auto"/>
        </w:rPr>
      </w:pPr>
      <w:r>
        <w:rPr>
          <w:rFonts w:ascii="Times New Roman" w:cs="Times New Roman" w:eastAsia="Times New Roman" w:hAnsi="Times New Roman"/>
          <w:sz w:val="20"/>
          <w:szCs w:val="20"/>
          <w:color w:val="auto"/>
        </w:rPr>
        <w:t xml:space="preserve">(xlix) </w:t>
      </w:r>
      <w:r>
        <w:rPr>
          <w:rFonts w:ascii="Times New Roman" w:cs="Times New Roman" w:eastAsia="Times New Roman" w:hAnsi="Times New Roman"/>
          <w:sz w:val="20"/>
          <w:szCs w:val="20"/>
          <w:u w:val="single" w:color="auto"/>
          <w:color w:val="auto"/>
        </w:rPr>
        <w:t>XBRL</w:t>
      </w:r>
      <w:r>
        <w:rPr>
          <w:rFonts w:ascii="Times New Roman" w:cs="Times New Roman" w:eastAsia="Times New Roman" w:hAnsi="Times New Roman"/>
          <w:sz w:val="20"/>
          <w:szCs w:val="20"/>
          <w:color w:val="auto"/>
        </w:rPr>
        <w:t>. The interactive data in eXtensible Business Reporting Language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149" w:lineRule="exact"/>
        <w:rPr>
          <w:sz w:val="20"/>
          <w:szCs w:val="20"/>
          <w:color w:val="auto"/>
        </w:rPr>
      </w:pPr>
    </w:p>
    <w:p>
      <w:pPr>
        <w:jc w:val="both"/>
        <w:ind w:left="460" w:firstLine="644"/>
        <w:spacing w:after="0" w:line="222" w:lineRule="auto"/>
        <w:tabs>
          <w:tab w:leader="none" w:pos="175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Defaults</w:t>
      </w:r>
      <w:r>
        <w:rPr>
          <w:rFonts w:ascii="Times New Roman" w:cs="Times New Roman" w:eastAsia="Times New Roman" w:hAnsi="Times New Roman"/>
          <w:sz w:val="20"/>
          <w:szCs w:val="20"/>
          <w:color w:val="auto"/>
        </w:rPr>
        <w:t>. Neither the Company nor any of its Subsidiaries has (i) failed to pay any dividend or sinking fund installment on preferred stock or (ii) 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56" w:lineRule="exact"/>
        <w:rPr>
          <w:sz w:val="20"/>
          <w:szCs w:val="20"/>
          <w:color w:val="auto"/>
        </w:rPr>
      </w:pPr>
    </w:p>
    <w:p>
      <w:pPr>
        <w:ind w:left="1100"/>
        <w:spacing w:after="0"/>
        <w:tabs>
          <w:tab w:leader="none" w:pos="1740" w:val="left"/>
        </w:tabs>
        <w:rPr>
          <w:sz w:val="20"/>
          <w:szCs w:val="20"/>
          <w:color w:val="auto"/>
        </w:rPr>
      </w:pPr>
      <w:r>
        <w:rPr>
          <w:rFonts w:ascii="Times New Roman" w:cs="Times New Roman" w:eastAsia="Times New Roman" w:hAnsi="Times New Roman"/>
          <w:sz w:val="20"/>
          <w:szCs w:val="20"/>
          <w:color w:val="auto"/>
        </w:rPr>
        <w:t>(li)</w:t>
      </w:r>
      <w:r>
        <w:rPr>
          <w:sz w:val="20"/>
          <w:szCs w:val="20"/>
          <w:color w:val="auto"/>
        </w:rPr>
        <w:tab/>
      </w:r>
      <w:r>
        <w:rPr>
          <w:rFonts w:ascii="Times New Roman" w:cs="Times New Roman" w:eastAsia="Times New Roman" w:hAnsi="Times New Roman"/>
          <w:sz w:val="20"/>
          <w:szCs w:val="20"/>
          <w:u w:val="single" w:color="auto"/>
          <w:color w:val="auto"/>
        </w:rPr>
        <w:t>Forward-Looking Statements</w:t>
      </w:r>
      <w:r>
        <w:rPr>
          <w:rFonts w:ascii="Times New Roman" w:cs="Times New Roman" w:eastAsia="Times New Roman" w:hAnsi="Times New Roman"/>
          <w:sz w:val="20"/>
          <w:szCs w:val="20"/>
          <w:color w:val="auto"/>
        </w:rPr>
        <w:t>. Each financial or operational projection or other “forward-looking statement” (as</w:t>
      </w:r>
    </w:p>
    <w:p>
      <w:pPr>
        <w:ind w:left="460"/>
        <w:spacing w:after="0" w:line="204" w:lineRule="auto"/>
        <w:rPr>
          <w:sz w:val="20"/>
          <w:szCs w:val="20"/>
          <w:color w:val="auto"/>
        </w:rPr>
      </w:pPr>
      <w:r>
        <w:rPr>
          <w:rFonts w:ascii="Times New Roman" w:cs="Times New Roman" w:eastAsia="Times New Roman" w:hAnsi="Times New Roman"/>
          <w:sz w:val="20"/>
          <w:szCs w:val="20"/>
          <w:color w:val="auto"/>
        </w:rPr>
        <w:t>defined by Section 27A of the 1933 Act or Section 21E of the 1934 Act) contained in the Registration Statement, the General Disclosure Package or the Prospectus (i) was so included by the Company in good faith and with reasonable basis after due</w:t>
      </w:r>
    </w:p>
    <w:p>
      <w:pPr>
        <w:ind w:left="460"/>
        <w:spacing w:after="0" w:line="211" w:lineRule="auto"/>
        <w:rPr>
          <w:sz w:val="20"/>
          <w:szCs w:val="20"/>
          <w:color w:val="auto"/>
        </w:rPr>
      </w:pPr>
      <w:r>
        <w:rPr>
          <w:rFonts w:ascii="Times New Roman" w:cs="Times New Roman" w:eastAsia="Times New Roman" w:hAnsi="Times New Roman"/>
          <w:sz w:val="20"/>
          <w:szCs w:val="20"/>
          <w:color w:val="auto"/>
        </w:rPr>
        <w:t>consideration by the Company of the underlying assumptions, estimates and other applicable facts and circumstances and (ii) as</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required, is accompanied by meaningful cautionary statements identifying those factors that could cause actual results to differ materially from those in such forward-looking statement. No such statement was made with the knowledge of a director or senior</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manager of the Company that was false or misleading.</w:t>
      </w:r>
    </w:p>
    <w:p>
      <w:pPr>
        <w:spacing w:after="0" w:line="167" w:lineRule="exact"/>
        <w:rPr>
          <w:sz w:val="20"/>
          <w:szCs w:val="20"/>
          <w:color w:val="auto"/>
        </w:rPr>
      </w:pPr>
    </w:p>
    <w:p>
      <w:pPr>
        <w:ind w:left="460" w:firstLine="648"/>
        <w:spacing w:after="0" w:line="215" w:lineRule="auto"/>
        <w:rPr>
          <w:sz w:val="20"/>
          <w:szCs w:val="20"/>
          <w:color w:val="auto"/>
        </w:rPr>
      </w:pPr>
      <w:r>
        <w:rPr>
          <w:rFonts w:ascii="Times New Roman" w:cs="Times New Roman" w:eastAsia="Times New Roman" w:hAnsi="Times New Roman"/>
          <w:sz w:val="20"/>
          <w:szCs w:val="20"/>
          <w:color w:val="auto"/>
        </w:rPr>
        <w:t xml:space="preserve">(lii) </w:t>
      </w:r>
      <w:r>
        <w:rPr>
          <w:rFonts w:ascii="Times New Roman" w:cs="Times New Roman" w:eastAsia="Times New Roman" w:hAnsi="Times New Roman"/>
          <w:sz w:val="20"/>
          <w:szCs w:val="20"/>
          <w:u w:val="single" w:color="auto"/>
          <w:color w:val="auto"/>
        </w:rPr>
        <w:t>Related Party Transactions</w:t>
      </w:r>
      <w:r>
        <w:rPr>
          <w:rFonts w:ascii="Times New Roman" w:cs="Times New Roman" w:eastAsia="Times New Roman" w:hAnsi="Times New Roman"/>
          <w:sz w:val="20"/>
          <w:szCs w:val="20"/>
          <w:color w:val="auto"/>
        </w:rPr>
        <w:t>. There are no relationships, direct or indirect, or related party transactions involving the Company or any of its Subsidiaries or any other person (including any director, officer, stockholder, customer or supplier of the</w:t>
      </w:r>
    </w:p>
    <w:p>
      <w:pPr>
        <w:ind w:left="460"/>
        <w:spacing w:after="0" w:line="212" w:lineRule="auto"/>
        <w:rPr>
          <w:sz w:val="20"/>
          <w:szCs w:val="20"/>
          <w:color w:val="auto"/>
        </w:rPr>
      </w:pPr>
      <w:r>
        <w:rPr>
          <w:rFonts w:ascii="Times New Roman" w:cs="Times New Roman" w:eastAsia="Times New Roman" w:hAnsi="Times New Roman"/>
          <w:sz w:val="20"/>
          <w:szCs w:val="20"/>
          <w:color w:val="auto"/>
        </w:rPr>
        <w:t>Company or any of its Subsidiaries) required to be described in the Registration Statement, the General Disclosure Package or the</w:t>
      </w:r>
    </w:p>
    <w:p>
      <w:pPr>
        <w:spacing w:after="0" w:line="1" w:lineRule="exact"/>
        <w:rPr>
          <w:sz w:val="20"/>
          <w:szCs w:val="20"/>
          <w:color w:val="auto"/>
        </w:rPr>
      </w:pPr>
    </w:p>
    <w:p>
      <w:pPr>
        <w:ind w:left="460"/>
        <w:spacing w:after="0" w:line="204" w:lineRule="auto"/>
        <w:rPr>
          <w:sz w:val="20"/>
          <w:szCs w:val="20"/>
          <w:color w:val="auto"/>
        </w:rPr>
      </w:pPr>
      <w:r>
        <w:rPr>
          <w:rFonts w:ascii="Times New Roman" w:cs="Times New Roman" w:eastAsia="Times New Roman" w:hAnsi="Times New Roman"/>
          <w:sz w:val="20"/>
          <w:szCs w:val="20"/>
          <w:color w:val="auto"/>
        </w:rPr>
        <w:t>Prospectus that have not been described as required. There are no material outstanding loans, advances (except normal advances for business expenses in the ordinary course of business) or guarantees of indebtedness by the Company or any of its Subsidiaries to or</w:t>
      </w:r>
    </w:p>
    <w:p>
      <w:pPr>
        <w:spacing w:after="0" w:line="1" w:lineRule="exact"/>
        <w:rPr>
          <w:sz w:val="20"/>
          <w:szCs w:val="20"/>
          <w:color w:val="auto"/>
        </w:rPr>
      </w:pPr>
    </w:p>
    <w:p>
      <w:pPr>
        <w:ind w:left="460"/>
        <w:spacing w:after="0" w:line="228" w:lineRule="auto"/>
        <w:rPr>
          <w:sz w:val="20"/>
          <w:szCs w:val="20"/>
          <w:color w:val="auto"/>
        </w:rPr>
      </w:pPr>
      <w:r>
        <w:rPr>
          <w:rFonts w:ascii="Times New Roman" w:cs="Times New Roman" w:eastAsia="Times New Roman" w:hAnsi="Times New Roman"/>
          <w:sz w:val="20"/>
          <w:szCs w:val="20"/>
          <w:color w:val="auto"/>
        </w:rPr>
        <w:t>for the benefit of any of the officers or directors of the Company or any of its Subsidiaries, or any of the family members of any of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040"/>
          </w:cols>
          <w:pgMar w:left="520" w:top="1399" w:right="339" w:bottom="1440" w:gutter="0" w:footer="0" w:header="0"/>
        </w:sectPr>
      </w:pPr>
    </w:p>
    <w:bookmarkStart w:id="23" w:name="page24"/>
    <w:bookmarkEnd w:id="23"/>
    <w:p>
      <w:pPr>
        <w:ind w:left="460" w:firstLine="648"/>
        <w:spacing w:after="0"/>
        <w:rPr>
          <w:sz w:val="20"/>
          <w:szCs w:val="20"/>
          <w:color w:val="auto"/>
        </w:rPr>
      </w:pPr>
      <w:r>
        <w:rPr>
          <w:rFonts w:ascii="Times New Roman" w:cs="Times New Roman" w:eastAsia="Times New Roman" w:hAnsi="Times New Roman"/>
          <w:sz w:val="20"/>
          <w:szCs w:val="20"/>
          <w:color w:val="auto"/>
        </w:rPr>
        <w:t xml:space="preserve">(liii) </w:t>
      </w:r>
      <w:r>
        <w:rPr>
          <w:rFonts w:ascii="Times New Roman" w:cs="Times New Roman" w:eastAsia="Times New Roman" w:hAnsi="Times New Roman"/>
          <w:sz w:val="20"/>
          <w:szCs w:val="20"/>
          <w:u w:val="single" w:color="auto"/>
          <w:color w:val="auto"/>
        </w:rPr>
        <w:t>Absence of Insolvency</w:t>
      </w:r>
      <w:r>
        <w:rPr>
          <w:rFonts w:ascii="Times New Roman" w:cs="Times New Roman" w:eastAsia="Times New Roman" w:hAnsi="Times New Roman"/>
          <w:sz w:val="20"/>
          <w:szCs w:val="20"/>
          <w:color w:val="auto"/>
        </w:rPr>
        <w:t>. The Company is not in or subject to a bankruptcy or insolvency proceeding in any jurisdiction.</w:t>
      </w:r>
    </w:p>
    <w:p>
      <w:pPr>
        <w:spacing w:after="0" w:line="378" w:lineRule="exact"/>
        <w:rPr>
          <w:sz w:val="20"/>
          <w:szCs w:val="20"/>
          <w:color w:val="auto"/>
        </w:rPr>
      </w:pPr>
    </w:p>
    <w:p>
      <w:pPr>
        <w:ind w:left="460" w:firstLine="648"/>
        <w:spacing w:after="0" w:line="222" w:lineRule="auto"/>
        <w:rPr>
          <w:sz w:val="20"/>
          <w:szCs w:val="20"/>
          <w:color w:val="auto"/>
        </w:rPr>
      </w:pPr>
      <w:r>
        <w:rPr>
          <w:rFonts w:ascii="Times New Roman" w:cs="Times New Roman" w:eastAsia="Times New Roman" w:hAnsi="Times New Roman"/>
          <w:sz w:val="20"/>
          <w:szCs w:val="20"/>
          <w:color w:val="auto"/>
        </w:rPr>
        <w:t xml:space="preserve">(liv) </w:t>
      </w:r>
      <w:r>
        <w:rPr>
          <w:rFonts w:ascii="Times New Roman" w:cs="Times New Roman" w:eastAsia="Times New Roman" w:hAnsi="Times New Roman"/>
          <w:sz w:val="20"/>
          <w:szCs w:val="20"/>
          <w:u w:val="single" w:color="auto"/>
          <w:color w:val="auto"/>
        </w:rPr>
        <w:t>Compliance with Occupational Laws</w:t>
      </w:r>
      <w:r>
        <w:rPr>
          <w:rFonts w:ascii="Times New Roman" w:cs="Times New Roman" w:eastAsia="Times New Roman" w:hAnsi="Times New Roman"/>
          <w:sz w:val="20"/>
          <w:szCs w:val="20"/>
          <w:color w:val="auto"/>
        </w:rPr>
        <w:t>. The Company and its Subsidiaries (i) are in compliance, in all material respects, with any and all applicable foreign, federal, state and local laws, rules, regulations, treaties, statutes and codes promulgated</w:t>
      </w:r>
    </w:p>
    <w:p>
      <w:pPr>
        <w:spacing w:after="0" w:line="2" w:lineRule="exact"/>
        <w:rPr>
          <w:sz w:val="20"/>
          <w:szCs w:val="20"/>
          <w:color w:val="auto"/>
        </w:rPr>
      </w:pPr>
    </w:p>
    <w:p>
      <w:pPr>
        <w:ind w:left="460"/>
        <w:spacing w:after="0" w:line="215" w:lineRule="auto"/>
        <w:rPr>
          <w:sz w:val="20"/>
          <w:szCs w:val="20"/>
          <w:color w:val="auto"/>
        </w:rPr>
      </w:pPr>
      <w:r>
        <w:rPr>
          <w:rFonts w:ascii="Times New Roman" w:cs="Times New Roman" w:eastAsia="Times New Roman" w:hAnsi="Times New Roman"/>
          <w:sz w:val="19"/>
          <w:szCs w:val="19"/>
          <w:color w:val="auto"/>
        </w:rPr>
        <w:t>by any and all governmental authorities (including pursuant to the Occupational Health and Safety Act) relating to the protection of human health and safety in the workplace (“</w:t>
      </w:r>
      <w:r>
        <w:rPr>
          <w:rFonts w:ascii="Times New Roman" w:cs="Times New Roman" w:eastAsia="Times New Roman" w:hAnsi="Times New Roman"/>
          <w:sz w:val="19"/>
          <w:szCs w:val="19"/>
          <w:u w:val="single" w:color="auto"/>
          <w:color w:val="auto"/>
        </w:rPr>
        <w:t>Occupational Laws</w:t>
      </w:r>
      <w:r>
        <w:rPr>
          <w:rFonts w:ascii="Times New Roman" w:cs="Times New Roman" w:eastAsia="Times New Roman" w:hAnsi="Times New Roman"/>
          <w:sz w:val="19"/>
          <w:szCs w:val="19"/>
          <w:color w:val="auto"/>
        </w:rPr>
        <w:t>”); (ii) have received all material permits, licenses or other approvals</w:t>
      </w:r>
    </w:p>
    <w:p>
      <w:pPr>
        <w:ind w:left="460"/>
        <w:spacing w:after="0" w:line="211" w:lineRule="auto"/>
        <w:rPr>
          <w:sz w:val="20"/>
          <w:szCs w:val="20"/>
          <w:color w:val="auto"/>
        </w:rPr>
      </w:pPr>
      <w:r>
        <w:rPr>
          <w:rFonts w:ascii="Times New Roman" w:cs="Times New Roman" w:eastAsia="Times New Roman" w:hAnsi="Times New Roman"/>
          <w:sz w:val="20"/>
          <w:szCs w:val="20"/>
          <w:color w:val="auto"/>
        </w:rPr>
        <w:t>required of it under applicable Occupational Laws to conduct their respective businesses as currently conducted; and (iii) are in</w:t>
      </w:r>
    </w:p>
    <w:p>
      <w:pPr>
        <w:ind w:left="460"/>
        <w:spacing w:after="0" w:line="215" w:lineRule="auto"/>
        <w:rPr>
          <w:sz w:val="20"/>
          <w:szCs w:val="20"/>
          <w:color w:val="auto"/>
        </w:rPr>
      </w:pPr>
      <w:r>
        <w:rPr>
          <w:rFonts w:ascii="Times New Roman" w:cs="Times New Roman" w:eastAsia="Times New Roman" w:hAnsi="Times New Roman"/>
          <w:sz w:val="19"/>
          <w:szCs w:val="19"/>
          <w:color w:val="auto"/>
        </w:rPr>
        <w:t>compliance, in all material respects, with all terms and conditions of such permit, license or approval. No action, proceeding, revocation proceeding, writ, injunction or claim is pending or, to the Company’s knowledge, threatened against the Company or any</w:t>
      </w:r>
    </w:p>
    <w:p>
      <w:pPr>
        <w:ind w:left="460"/>
        <w:spacing w:after="0" w:line="211" w:lineRule="auto"/>
        <w:rPr>
          <w:sz w:val="20"/>
          <w:szCs w:val="20"/>
          <w:color w:val="auto"/>
        </w:rPr>
      </w:pPr>
      <w:r>
        <w:rPr>
          <w:rFonts w:ascii="Times New Roman" w:cs="Times New Roman" w:eastAsia="Times New Roman" w:hAnsi="Times New Roman"/>
          <w:sz w:val="20"/>
          <w:szCs w:val="20"/>
          <w:color w:val="auto"/>
        </w:rPr>
        <w:t>of its Subsidiaries relating to Occupational Laws, and the Company does not have knowledge of any facts, circumstances or</w:t>
      </w:r>
    </w:p>
    <w:p>
      <w:pPr>
        <w:ind w:left="460"/>
        <w:spacing w:after="0" w:line="221" w:lineRule="auto"/>
        <w:rPr>
          <w:sz w:val="20"/>
          <w:szCs w:val="20"/>
          <w:color w:val="auto"/>
        </w:rPr>
      </w:pPr>
      <w:r>
        <w:rPr>
          <w:rFonts w:ascii="Times New Roman" w:cs="Times New Roman" w:eastAsia="Times New Roman" w:hAnsi="Times New Roman"/>
          <w:sz w:val="20"/>
          <w:szCs w:val="20"/>
          <w:color w:val="auto"/>
        </w:rPr>
        <w:t>developments relating to its operations or cost accounting practices that could reasonably be expected to form the basis for or give rise to such actions, suits, investigations or proceedings.</w:t>
      </w:r>
    </w:p>
    <w:p>
      <w:pPr>
        <w:spacing w:after="0" w:line="16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9"/>
          <w:szCs w:val="19"/>
          <w:color w:val="auto"/>
        </w:rPr>
        <w:t>(lv)</w:t>
      </w:r>
      <w:r>
        <w:rPr>
          <w:sz w:val="20"/>
          <w:szCs w:val="20"/>
          <w:color w:val="auto"/>
        </w:rPr>
        <w:tab/>
      </w:r>
      <w:r>
        <w:rPr>
          <w:rFonts w:ascii="Times New Roman" w:cs="Times New Roman" w:eastAsia="Times New Roman" w:hAnsi="Times New Roman"/>
          <w:sz w:val="19"/>
          <w:szCs w:val="19"/>
          <w:u w:val="single" w:color="auto"/>
          <w:color w:val="auto"/>
        </w:rPr>
        <w:t>Absence of Restrictive Agreements</w:t>
      </w:r>
      <w:r>
        <w:rPr>
          <w:rFonts w:ascii="Times New Roman" w:cs="Times New Roman" w:eastAsia="Times New Roman" w:hAnsi="Times New Roman"/>
          <w:sz w:val="19"/>
          <w:szCs w:val="19"/>
          <w:color w:val="auto"/>
        </w:rPr>
        <w:t>. No director or officer of the Company or any of its Subsidiaries is subject to any</w:t>
      </w:r>
    </w:p>
    <w:p>
      <w:pPr>
        <w:spacing w:after="0" w:line="6" w:lineRule="exact"/>
        <w:rPr>
          <w:sz w:val="20"/>
          <w:szCs w:val="20"/>
          <w:color w:val="auto"/>
        </w:rPr>
      </w:pPr>
    </w:p>
    <w:p>
      <w:pPr>
        <w:ind w:left="460"/>
        <w:spacing w:after="0" w:line="221" w:lineRule="auto"/>
        <w:rPr>
          <w:sz w:val="20"/>
          <w:szCs w:val="20"/>
          <w:color w:val="auto"/>
        </w:rPr>
      </w:pPr>
      <w:r>
        <w:rPr>
          <w:rFonts w:ascii="Times New Roman" w:cs="Times New Roman" w:eastAsia="Times New Roman" w:hAnsi="Times New Roman"/>
          <w:sz w:val="20"/>
          <w:szCs w:val="20"/>
          <w:color w:val="auto"/>
        </w:rPr>
        <w:t>non-competition agreement or non-solicitation agreement with any employer or prior employer which could materially affect each director’s or officer’s ability to be and act in the capacity of a director or officer of the Company or a Subsidiary.</w:t>
      </w:r>
    </w:p>
    <w:p>
      <w:pPr>
        <w:spacing w:after="0" w:line="15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20"/>
          <w:szCs w:val="20"/>
          <w:color w:val="auto"/>
        </w:rPr>
        <w:t>(lvi)</w:t>
      </w:r>
      <w:r>
        <w:rPr>
          <w:sz w:val="20"/>
          <w:szCs w:val="20"/>
          <w:color w:val="auto"/>
        </w:rPr>
        <w:tab/>
      </w:r>
      <w:r>
        <w:rPr>
          <w:rFonts w:ascii="Times New Roman" w:cs="Times New Roman" w:eastAsia="Times New Roman" w:hAnsi="Times New Roman"/>
          <w:sz w:val="20"/>
          <w:szCs w:val="20"/>
          <w:u w:val="single" w:color="auto"/>
          <w:color w:val="auto"/>
        </w:rPr>
        <w:t>No Broker Fees</w:t>
      </w:r>
      <w:r>
        <w:rPr>
          <w:rFonts w:ascii="Times New Roman" w:cs="Times New Roman" w:eastAsia="Times New Roman" w:hAnsi="Times New Roman"/>
          <w:sz w:val="20"/>
          <w:szCs w:val="20"/>
          <w:color w:val="auto"/>
        </w:rPr>
        <w:t>. Except as disclosed in the General Disclosure Package, there are no contracts, agreements or</w:t>
      </w:r>
    </w:p>
    <w:p>
      <w:pPr>
        <w:jc w:val="both"/>
        <w:ind w:left="460"/>
        <w:spacing w:after="0" w:line="233" w:lineRule="auto"/>
        <w:rPr>
          <w:sz w:val="20"/>
          <w:szCs w:val="20"/>
          <w:color w:val="auto"/>
        </w:rPr>
      </w:pPr>
      <w:r>
        <w:rPr>
          <w:rFonts w:ascii="Times New Roman" w:cs="Times New Roman" w:eastAsia="Times New Roman" w:hAnsi="Times New Roman"/>
          <w:sz w:val="19"/>
          <w:szCs w:val="19"/>
          <w:color w:val="auto"/>
        </w:rPr>
        <w:t>understandings between the Company and any person that would give rise to a valid claim against the Company or any Underwriter for a brokerage commission, finder’s fee or other like payment in connection with the offering of the Securities contemplated hereby.</w:t>
      </w:r>
    </w:p>
    <w:p>
      <w:pPr>
        <w:spacing w:after="0" w:line="157" w:lineRule="exact"/>
        <w:rPr>
          <w:sz w:val="20"/>
          <w:szCs w:val="20"/>
          <w:color w:val="auto"/>
        </w:rPr>
      </w:pPr>
    </w:p>
    <w:p>
      <w:pPr>
        <w:jc w:val="both"/>
        <w:ind w:left="-200" w:firstLine="656"/>
        <w:spacing w:after="0" w:line="227" w:lineRule="auto"/>
        <w:tabs>
          <w:tab w:leader="none" w:pos="10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Officer’s Certificates</w:t>
      </w:r>
      <w:r>
        <w:rPr>
          <w:rFonts w:ascii="Times New Roman" w:cs="Times New Roman" w:eastAsia="Times New Roman" w:hAnsi="Times New Roman"/>
          <w:sz w:val="20"/>
          <w:szCs w:val="20"/>
          <w:color w:val="auto"/>
        </w:rPr>
        <w:t>. Any certificate signed by any officer of the Company or any of its Subsidiaries delivered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Representatives or to counsel for the Underwriters shall be deemed a representation and warranty by the Company to each Underwriter as to the matters covered thereby.</w:t>
      </w:r>
    </w:p>
    <w:p>
      <w:pPr>
        <w:spacing w:after="0" w:line="161" w:lineRule="exact"/>
        <w:rPr>
          <w:sz w:val="20"/>
          <w:szCs w:val="20"/>
          <w:color w:val="auto"/>
        </w:rPr>
      </w:pPr>
    </w:p>
    <w:p>
      <w:pPr>
        <w:ind w:left="4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Sale and Delivery to Underwriters; Closing</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left="-200" w:firstLine="656"/>
        <w:spacing w:after="0" w:line="216" w:lineRule="auto"/>
        <w:tabs>
          <w:tab w:leader="none" w:pos="108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Initial Securities</w:t>
      </w:r>
      <w:r>
        <w:rPr>
          <w:rFonts w:ascii="Times New Roman" w:cs="Times New Roman" w:eastAsia="Times New Roman" w:hAnsi="Times New Roman"/>
          <w:sz w:val="20"/>
          <w:szCs w:val="20"/>
          <w:color w:val="auto"/>
        </w:rPr>
        <w:t>. On the basis of the representations and warranties herein contained and subject to the terms and conditions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herein set forth, the Company agrees to sell to each Underwriter, severally and not jointly, and each Underwriter, severally and not jointly, agrees to purchase from the Company, at the price per Initial Share and the price per Pre-Funded Warrant, as applicable,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that number of Initial Securities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57" w:lineRule="exact"/>
        <w:rPr>
          <w:rFonts w:ascii="Times New Roman" w:cs="Times New Roman" w:eastAsia="Times New Roman" w:hAnsi="Times New Roman"/>
          <w:sz w:val="20"/>
          <w:szCs w:val="20"/>
          <w:color w:val="auto"/>
        </w:rPr>
      </w:pPr>
    </w:p>
    <w:p>
      <w:pPr>
        <w:jc w:val="both"/>
        <w:ind w:left="-200" w:firstLine="656"/>
        <w:spacing w:after="0" w:line="213" w:lineRule="auto"/>
        <w:tabs>
          <w:tab w:leader="none" w:pos="10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Option Securities</w:t>
      </w:r>
      <w:r>
        <w:rPr>
          <w:rFonts w:ascii="Times New Roman" w:cs="Times New Roman" w:eastAsia="Times New Roman" w:hAnsi="Times New Roman"/>
          <w:sz w:val="20"/>
          <w:szCs w:val="20"/>
          <w:color w:val="auto"/>
        </w:rPr>
        <w:t>. In addition, on the basis of the representations and warranties herein contained and subject to the terms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conditions herein set forth, the Company hereby grants an option to the Underwriters, severally and not jointly, to purchase up to an additional 624,999 shares of Common Stock, at the price per share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cs="Times New Roman" w:eastAsia="Times New Roman" w:hAnsi="Times New Roman"/>
          <w:sz w:val="20"/>
          <w:szCs w:val="20"/>
          <w:u w:val="single" w:color="auto"/>
          <w:color w:val="auto"/>
        </w:rPr>
        <w:t>Date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Delivery</w:t>
      </w:r>
      <w:r>
        <w:rPr>
          <w:rFonts w:ascii="Times New Roman" w:cs="Times New Roman" w:eastAsia="Times New Roman" w:hAnsi="Times New Roman"/>
          <w:sz w:val="20"/>
          <w:szCs w:val="20"/>
          <w:color w:val="auto"/>
        </w:rPr>
        <w:t>”) shall be determined by the Representatives, but any Date of Delivery after the Closing Time shall not be later than seven full business days nor earlier than one full business day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040"/>
          </w:cols>
          <w:pgMar w:left="520" w:top="139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color w:val="auto"/>
        </w:rPr>
        <w:t xml:space="preserve">which the number of Initial Securities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opposite the name of such Underwriter bears to the total number of Initial</w:t>
      </w:r>
    </w:p>
    <w:p>
      <w:pPr>
        <w:spacing w:after="0" w:line="221" w:lineRule="auto"/>
        <w:rPr>
          <w:sz w:val="20"/>
          <w:szCs w:val="20"/>
          <w:color w:val="auto"/>
        </w:rPr>
      </w:pPr>
      <w:r>
        <w:rPr>
          <w:rFonts w:ascii="Times New Roman" w:cs="Times New Roman" w:eastAsia="Times New Roman" w:hAnsi="Times New Roman"/>
          <w:sz w:val="20"/>
          <w:szCs w:val="20"/>
          <w:color w:val="auto"/>
        </w:rPr>
        <w:t>Securities, subject, in each case, to such adjustments as the Representatives in their sole discretion shall make to eliminate any sales or purchases of fractional shares.</w:t>
      </w:r>
    </w:p>
    <w:p>
      <w:pPr>
        <w:spacing w:after="0" w:line="158" w:lineRule="exact"/>
        <w:rPr>
          <w:sz w:val="20"/>
          <w:szCs w:val="20"/>
          <w:color w:val="auto"/>
        </w:rPr>
      </w:pPr>
    </w:p>
    <w:p>
      <w:pPr>
        <w:jc w:val="both"/>
        <w:ind w:firstLine="656"/>
        <w:spacing w:after="0" w:line="217" w:lineRule="auto"/>
        <w:tabs>
          <w:tab w:leader="none" w:pos="128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w:t>
      </w:r>
      <w:r>
        <w:rPr>
          <w:rFonts w:ascii="Times New Roman" w:cs="Times New Roman" w:eastAsia="Times New Roman" w:hAnsi="Times New Roman"/>
          <w:sz w:val="20"/>
          <w:szCs w:val="20"/>
          <w:color w:val="auto"/>
        </w:rPr>
        <w:t>. Payment of the purchase price for, and delivery of certificates or security entitlements for, the Initial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be made at the offices of Cooley LLP, or at such other place as shall be agreed upon by the Representatives and the Company, at 10:00 A.M. (New York City time) on July 2, 2026 (unless postponed in accordance with the provisions of Section 10), or such other time not later than ten business days after such date as shall be agreed upon by the Representatives and the Company (such time and date of payment and delivery being herein called “</w:t>
      </w:r>
      <w:r>
        <w:rPr>
          <w:rFonts w:ascii="Times New Roman" w:cs="Times New Roman" w:eastAsia="Times New Roman" w:hAnsi="Times New Roman"/>
          <w:sz w:val="20"/>
          <w:szCs w:val="20"/>
          <w:u w:val="single" w:color="auto"/>
          <w:color w:val="auto"/>
        </w:rPr>
        <w:t>Closing Time</w:t>
      </w:r>
      <w:r>
        <w:rPr>
          <w:rFonts w:ascii="Times New Roman" w:cs="Times New Roman" w:eastAsia="Times New Roman" w:hAnsi="Times New Roman"/>
          <w:sz w:val="20"/>
          <w:szCs w:val="20"/>
          <w:color w:val="auto"/>
        </w:rPr>
        <w:t>”). Delivery of the Initial Securities at the Closing Time shall be made through the facilities of The Depository Trust Company unless the Representatives shall otherwise instruct.</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 Delivery of the Option Securities on each such Date of Delivery shall be made through the facilities of The Depository Trust Company unless the Representatives shall otherwise instruct.</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their accounts, to accept delivery of, receipt for, and make payment of the purchase price for, the Initial Securities and the Option Securities, if any, which it has agreed to purchase. Each of Leerink Partners, Stifel and Guggenheim </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individually and not as representatives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78" w:lineRule="exact"/>
        <w:rPr>
          <w:sz w:val="20"/>
          <w:szCs w:val="20"/>
          <w:color w:val="auto"/>
        </w:rPr>
      </w:pPr>
    </w:p>
    <w:p>
      <w:pPr>
        <w:jc w:val="both"/>
        <w:ind w:firstLine="656"/>
        <w:spacing w:after="0" w:line="211" w:lineRule="auto"/>
        <w:tabs>
          <w:tab w:leader="none" w:pos="128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Settlement of Pre-Funded Warrants</w:t>
      </w:r>
      <w:r>
        <w:rPr>
          <w:rFonts w:ascii="Times New Roman" w:cs="Times New Roman" w:eastAsia="Times New Roman" w:hAnsi="Times New Roman"/>
          <w:sz w:val="20"/>
          <w:szCs w:val="20"/>
          <w:color w:val="auto"/>
        </w:rPr>
        <w:t>. Notwithstanding the foregoing, the Company and the Representatives shall instruct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purchasers of the Pre-Funded Warrants to make payment for the Pre-Funded Warrants on the Closing Time to the Company by wire transfer in immediately available funds to the account specified by the Company at a purchase price of $29.999999 per Pre-Funded Warrant, in lieu of payment by the Underwriters for such Pre-Funded Warrants, and the Company shall deliver the Pre-Funded Warrants to such purchasers at the Closing Time in definitive form against such payment, in lieu of the Company’s obligation to deliver the Pre-Funded Warrants to the Representatives; provided that, the Underwriters shall withhold $1.80 per Pre-Funded Warrant with respect to such Pre-Funded Warrants as an offset effected by the Company of its claim for payment by the Underwriters to the Company for the Initial Shares against the Company’s obligation to pay the amount so withheld with respect to such Pre-Funded Warrants to the Underwriters. In the event that any purchaser of the Pre-Funded Warrants fails to make payment to the Company for all or part of the Pre-Funded Warrants on the Closing Time, the Representatives shall either (i) make payment to the Company for such Pre-Funded Warrants at the purchase price specified to be paid by the Underwriters for such Pre-Funded Warrants in Schedule A or (ii) elect, by written notice to the Company, to receive Shares at the purchase price specified to be paid by the Underwriters for such Shares in Schedule A, in lieu of all or a portion of such Pre-Funded Warrants contemplated to be sold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94" w:right="339" w:bottom="1440" w:gutter="0" w:footer="0" w:header="0"/>
        </w:sectPr>
      </w:pPr>
    </w:p>
    <w:bookmarkStart w:id="25" w:name="page26"/>
    <w:bookmarkEnd w:id="25"/>
    <w:p>
      <w:pPr>
        <w:ind w:left="4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Covenants of the Company</w:t>
      </w:r>
      <w:r>
        <w:rPr>
          <w:rFonts w:ascii="Times New Roman" w:cs="Times New Roman" w:eastAsia="Times New Roman" w:hAnsi="Times New Roman"/>
          <w:sz w:val="19"/>
          <w:szCs w:val="19"/>
          <w:color w:val="auto"/>
        </w:rPr>
        <w:t>. The Company covenants with each Underwriter as follows:</w:t>
      </w:r>
    </w:p>
    <w:p>
      <w:pPr>
        <w:spacing w:after="0" w:line="185" w:lineRule="exact"/>
        <w:rPr>
          <w:sz w:val="20"/>
          <w:szCs w:val="20"/>
          <w:color w:val="auto"/>
        </w:rPr>
      </w:pPr>
    </w:p>
    <w:p>
      <w:pPr>
        <w:jc w:val="both"/>
        <w:ind w:left="-200" w:firstLine="656"/>
        <w:spacing w:after="0" w:line="210" w:lineRule="auto"/>
        <w:tabs>
          <w:tab w:leader="none" w:pos="10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Compliance with Securities Regulations and Commission Requests</w:t>
      </w:r>
      <w:r>
        <w:rPr>
          <w:rFonts w:ascii="Times New Roman" w:cs="Times New Roman" w:eastAsia="Times New Roman" w:hAnsi="Times New Roman"/>
          <w:sz w:val="20"/>
          <w:szCs w:val="20"/>
          <w:color w:val="auto"/>
        </w:rPr>
        <w:t>. The Company, subject to Section 3(b), will comply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requirements of Rule 430B, and will notify the Representatives as soon as reasonably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reasonably practicable.</w:t>
      </w:r>
    </w:p>
    <w:p>
      <w:pPr>
        <w:spacing w:after="0" w:line="167" w:lineRule="exact"/>
        <w:rPr>
          <w:rFonts w:ascii="Times New Roman" w:cs="Times New Roman" w:eastAsia="Times New Roman" w:hAnsi="Times New Roman"/>
          <w:sz w:val="20"/>
          <w:szCs w:val="20"/>
          <w:color w:val="auto"/>
        </w:rPr>
      </w:pPr>
    </w:p>
    <w:p>
      <w:pPr>
        <w:jc w:val="both"/>
        <w:ind w:left="-200" w:firstLine="656"/>
        <w:spacing w:after="0" w:line="209" w:lineRule="auto"/>
        <w:tabs>
          <w:tab w:leader="none" w:pos="10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Continued Compliance with Securities Laws</w:t>
      </w:r>
      <w:r>
        <w:rPr>
          <w:rFonts w:ascii="Times New Roman" w:cs="Times New Roman" w:eastAsia="Times New Roman" w:hAnsi="Times New Roman"/>
          <w:sz w:val="20"/>
          <w:szCs w:val="20"/>
          <w:color w:val="auto"/>
        </w:rPr>
        <w:t>. The Company will comply with the 1933 Act, the 1933 Act Regulations,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20"/>
          <w:szCs w:val="20"/>
          <w:u w:val="single" w:color="auto"/>
          <w:color w:val="auto"/>
        </w:rPr>
        <w:t>Rule 172</w:t>
      </w:r>
      <w:r>
        <w:rPr>
          <w:rFonts w:ascii="Times New Roman" w:cs="Times New Roman" w:eastAsia="Times New Roman" w:hAnsi="Times New Roman"/>
          <w:sz w:val="20"/>
          <w:szCs w:val="20"/>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Representatives notice of any filings made pursuant to the 1934 Act or the 1934 Act Regulations as soon as practicable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59" w:lineRule="exact"/>
        <w:rPr>
          <w:rFonts w:ascii="Times New Roman" w:cs="Times New Roman" w:eastAsia="Times New Roman" w:hAnsi="Times New Roman"/>
          <w:sz w:val="20"/>
          <w:szCs w:val="20"/>
          <w:color w:val="auto"/>
        </w:rPr>
      </w:pPr>
    </w:p>
    <w:p>
      <w:pPr>
        <w:ind w:left="-200" w:firstLine="656"/>
        <w:spacing w:after="0" w:line="235" w:lineRule="auto"/>
        <w:tabs>
          <w:tab w:leader="none" w:pos="10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Delivery of Registration Statements</w:t>
      </w:r>
      <w:r>
        <w:rPr>
          <w:rFonts w:ascii="Times New Roman" w:cs="Times New Roman" w:eastAsia="Times New Roman" w:hAnsi="Times New Roman"/>
          <w:sz w:val="20"/>
          <w:szCs w:val="20"/>
          <w:color w:val="auto"/>
        </w:rPr>
        <w:t>. The Company has furnished or will deliver to the Representatives and counsel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Underwriters, without charge, conformed copies of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040"/>
          </w:cols>
          <w:pgMar w:left="520" w:top="139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color w:val="auto"/>
        </w:rPr>
        <w:t>Statement as originally filed and each amendment thereto (including exhibits filed therewith or incorporated by reference therein and</w:t>
      </w:r>
    </w:p>
    <w:p>
      <w:pPr>
        <w:spacing w:after="0" w:line="204" w:lineRule="auto"/>
        <w:rPr>
          <w:sz w:val="20"/>
          <w:szCs w:val="20"/>
          <w:color w:val="auto"/>
        </w:rPr>
      </w:pPr>
      <w:r>
        <w:rPr>
          <w:rFonts w:ascii="Times New Roman" w:cs="Times New Roman" w:eastAsia="Times New Roman" w:hAnsi="Times New Roman"/>
          <w:sz w:val="20"/>
          <w:szCs w:val="20"/>
          <w:color w:val="auto"/>
        </w:rPr>
        <w:t>documents incorporated or deemed incorporated by reference therein) and conformed copies of all consents and certificates of experts. The copies of the Registration Statement and each amendment thereto furnished to the Underwriters will be identical to the electronically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transmitted copies thereof filed with the Commission pursuant to EDGAR, except to the extent permitted by Regulation S-T.</w:t>
      </w:r>
    </w:p>
    <w:p>
      <w:pPr>
        <w:spacing w:after="0" w:line="163" w:lineRule="exact"/>
        <w:rPr>
          <w:sz w:val="20"/>
          <w:szCs w:val="20"/>
          <w:color w:val="auto"/>
        </w:rPr>
      </w:pPr>
    </w:p>
    <w:p>
      <w:pPr>
        <w:jc w:val="both"/>
        <w:ind w:firstLine="656"/>
        <w:spacing w:after="0" w:line="216" w:lineRule="auto"/>
        <w:tabs>
          <w:tab w:leader="none" w:pos="12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Delivery of Prospectuses</w:t>
      </w:r>
      <w:r>
        <w:rPr>
          <w:rFonts w:ascii="Times New Roman" w:cs="Times New Roman" w:eastAsia="Times New Roman" w:hAnsi="Times New Roman"/>
          <w:sz w:val="20"/>
          <w:szCs w:val="20"/>
          <w:color w:val="auto"/>
        </w:rPr>
        <w:t>. The Company has delivered to each Underwriter, without charge, as many copies of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44" w:lineRule="exact"/>
        <w:rPr>
          <w:rFonts w:ascii="Times New Roman" w:cs="Times New Roman" w:eastAsia="Times New Roman" w:hAnsi="Times New Roman"/>
          <w:sz w:val="20"/>
          <w:szCs w:val="20"/>
          <w:color w:val="auto"/>
        </w:rPr>
      </w:pPr>
    </w:p>
    <w:p>
      <w:pPr>
        <w:jc w:val="both"/>
        <w:ind w:firstLine="656"/>
        <w:spacing w:after="0" w:line="219" w:lineRule="auto"/>
        <w:tabs>
          <w:tab w:leader="none" w:pos="12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Blue Sky Qualifications</w:t>
      </w:r>
      <w:r>
        <w:rPr>
          <w:rFonts w:ascii="Times New Roman" w:cs="Times New Roman" w:eastAsia="Times New Roman" w:hAnsi="Times New Roman"/>
          <w:sz w:val="20"/>
          <w:szCs w:val="20"/>
          <w:color w:val="auto"/>
        </w:rPr>
        <w:t>. If required by applicable law, the Company will use its reasonable best efforts, in cooperation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Underwriters, to qualify the Securities for 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44" w:lineRule="exact"/>
        <w:rPr>
          <w:rFonts w:ascii="Times New Roman" w:cs="Times New Roman" w:eastAsia="Times New Roman" w:hAnsi="Times New Roman"/>
          <w:sz w:val="20"/>
          <w:szCs w:val="20"/>
          <w:color w:val="auto"/>
        </w:rPr>
      </w:pPr>
    </w:p>
    <w:p>
      <w:pPr>
        <w:jc w:val="both"/>
        <w:ind w:firstLine="656"/>
        <w:spacing w:after="0" w:line="223" w:lineRule="auto"/>
        <w:tabs>
          <w:tab w:leader="none" w:pos="129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Rule 158</w:t>
      </w:r>
      <w:r>
        <w:rPr>
          <w:rFonts w:ascii="Times New Roman" w:cs="Times New Roman" w:eastAsia="Times New Roman" w:hAnsi="Times New Roman"/>
          <w:sz w:val="20"/>
          <w:szCs w:val="20"/>
          <w:color w:val="auto"/>
        </w:rPr>
        <w:t>. The Company will timely file such reports pursuant to the 1934 Act as are necessary in order to make generally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available (which may be satisfied by filing with the Commission pursuant to EDGAR) to its securityholders as soon as practicable an earnings statement for the purposes of, and to provide to the Underwriters the benefits contemplated by, the last paragraph of Section 11(a) of the 1933 Act.</w:t>
      </w:r>
    </w:p>
    <w:p>
      <w:pPr>
        <w:spacing w:after="0" w:line="157"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Use of Proceeds</w:t>
      </w:r>
      <w:r>
        <w:rPr>
          <w:rFonts w:ascii="Times New Roman" w:cs="Times New Roman" w:eastAsia="Times New Roman" w:hAnsi="Times New Roman"/>
          <w:sz w:val="20"/>
          <w:szCs w:val="20"/>
          <w:color w:val="auto"/>
        </w:rPr>
        <w:t>. The Company will use the net proceeds received by it from the sale of the Securities in all material respects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manner specified in the Registration Statement, the General Disclosure Package and the Prospectus under the heading “Use of Proceeds.”</w:t>
      </w:r>
    </w:p>
    <w:p>
      <w:pPr>
        <w:spacing w:after="0" w:line="157" w:lineRule="exact"/>
        <w:rPr>
          <w:rFonts w:ascii="Times New Roman" w:cs="Times New Roman" w:eastAsia="Times New Roman" w:hAnsi="Times New Roman"/>
          <w:sz w:val="20"/>
          <w:szCs w:val="20"/>
          <w:color w:val="auto"/>
        </w:rPr>
      </w:pPr>
    </w:p>
    <w:p>
      <w:pPr>
        <w:ind w:right="20" w:firstLine="656"/>
        <w:spacing w:after="0" w:line="235" w:lineRule="auto"/>
        <w:tabs>
          <w:tab w:leader="none" w:pos="12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Listing</w:t>
      </w:r>
      <w:r>
        <w:rPr>
          <w:rFonts w:ascii="Times New Roman" w:cs="Times New Roman" w:eastAsia="Times New Roman" w:hAnsi="Times New Roman"/>
          <w:sz w:val="20"/>
          <w:szCs w:val="20"/>
          <w:color w:val="auto"/>
        </w:rPr>
        <w:t>. The Company will use its reasonable best efforts to effect and maintain the listing of the Common Stock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Shares and the Warrant Shares) on the Nasdaq Global Market.</w:t>
      </w:r>
    </w:p>
    <w:p>
      <w:pPr>
        <w:spacing w:after="0" w:line="157"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Restriction on Sale of Securities</w:t>
      </w:r>
      <w:r>
        <w:rPr>
          <w:rFonts w:ascii="Times New Roman" w:cs="Times New Roman" w:eastAsia="Times New Roman" w:hAnsi="Times New Roman"/>
          <w:sz w:val="20"/>
          <w:szCs w:val="20"/>
          <w:color w:val="auto"/>
        </w:rPr>
        <w:t>. During a period of 60 days from the date of the Prospectus, the Company will not,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hereunder (including the issuance of Warrant Shares upon exercise of the Pre-Funded Warrants); (B) any shares of Common Stock issued by the Company upon the exercise of an option or warrant or the conversion of a convertible security outstanding on the date hereof and referred to in the Registration Statement, the General Disclosure Package and the Prospectus; (C) any shares of Common Stock issued or options to purchase Common Stock granted pursuant to existing employee benefit plans of the Company referred to in the Registration Statement, the General Disclosure Package and the Prospectus; (D) any shares of Common Stock issued pursuant to any existing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9"/>
          <w:szCs w:val="19"/>
          <w:color w:val="auto"/>
        </w:rPr>
        <w:t>employee director stock plan or dividend reinvestment plan referred to in the Registration Statement, the General Disclosure Package and the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Prospectus; (E) the filing by the Company of any registration statement on Form S-8 or a successor form thereto; or (F) the sale or issuance of or entry into an agreement to sell or issue shares of Common Stock or other securities issued in connection with any (1) merger, (2)</w:t>
      </w:r>
    </w:p>
    <w:p>
      <w:pPr>
        <w:spacing w:after="0" w:line="211" w:lineRule="auto"/>
        <w:rPr>
          <w:sz w:val="20"/>
          <w:szCs w:val="20"/>
          <w:color w:val="auto"/>
        </w:rPr>
      </w:pPr>
      <w:r>
        <w:rPr>
          <w:rFonts w:ascii="Times New Roman" w:cs="Times New Roman" w:eastAsia="Times New Roman" w:hAnsi="Times New Roman"/>
          <w:sz w:val="20"/>
          <w:szCs w:val="20"/>
          <w:color w:val="auto"/>
        </w:rPr>
        <w:t>acquisition of securities, businesses, properties or other assets, (3) joint venture or (4) strategic alliance or relationship, provided, that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aggregate number of shares issued pursuant to this clause (F) shall not exceed 5.0% of the total number of outstanding shares of Common Stock immediately following the issuance and sale of the Securities; provided further that the recipient of any such shares of Common Stock</w:t>
      </w:r>
    </w:p>
    <w:p>
      <w:pPr>
        <w:spacing w:after="0" w:line="211" w:lineRule="auto"/>
        <w:rPr>
          <w:sz w:val="20"/>
          <w:szCs w:val="20"/>
          <w:color w:val="auto"/>
        </w:rPr>
      </w:pPr>
      <w:r>
        <w:rPr>
          <w:rFonts w:ascii="Times New Roman" w:cs="Times New Roman" w:eastAsia="Times New Roman" w:hAnsi="Times New Roman"/>
          <w:sz w:val="20"/>
          <w:szCs w:val="20"/>
          <w:color w:val="auto"/>
        </w:rPr>
        <w:t>or securities issued pursuant to this clause (F) during the 60-day restricted period shall enter into an agreement substantially in the form of</w:t>
      </w: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Notwithstanding the foregoing, the Company may effect sales pursuant to the Sales Agreement with Leerink Partners, dated as of August 11, 2025,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(X) the Company notifies the Representatives prior to effecting any sales and (Y) no sales shall be made until</w:t>
      </w:r>
    </w:p>
    <w:p>
      <w:pPr>
        <w:spacing w:after="0" w:line="228" w:lineRule="auto"/>
        <w:rPr>
          <w:sz w:val="20"/>
          <w:szCs w:val="20"/>
          <w:color w:val="auto"/>
        </w:rPr>
      </w:pPr>
      <w:r>
        <w:rPr>
          <w:rFonts w:ascii="Times New Roman" w:cs="Times New Roman" w:eastAsia="Times New Roman" w:hAnsi="Times New Roman"/>
          <w:sz w:val="20"/>
          <w:szCs w:val="20"/>
          <w:color w:val="auto"/>
        </w:rPr>
        <w:t>the earlier of (i) the exercise in full by the Underwriters of their option to purchase the Option Securities and (ii) 30 calendar days after the date of this Agreement.</w:t>
      </w:r>
    </w:p>
    <w:p>
      <w:pPr>
        <w:spacing w:after="0" w:line="145" w:lineRule="exact"/>
        <w:rPr>
          <w:sz w:val="20"/>
          <w:szCs w:val="20"/>
          <w:color w:val="auto"/>
        </w:rPr>
      </w:pPr>
    </w:p>
    <w:p>
      <w:pPr>
        <w:jc w:val="both"/>
        <w:ind w:firstLine="656"/>
        <w:spacing w:after="0" w:line="223" w:lineRule="auto"/>
        <w:tabs>
          <w:tab w:leader="none" w:pos="129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Reporting Requirements</w:t>
      </w:r>
      <w:r>
        <w:rPr>
          <w:rFonts w:ascii="Times New Roman" w:cs="Times New Roman" w:eastAsia="Times New Roman" w:hAnsi="Times New Roman"/>
          <w:sz w:val="20"/>
          <w:szCs w:val="20"/>
          <w:color w:val="auto"/>
        </w:rPr>
        <w:t>. The Company, during the period when a Prospectus relating to the Securities is (or, but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57"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Issuer Free Writing Prospectuses</w:t>
      </w:r>
      <w:r>
        <w:rPr>
          <w:rFonts w:ascii="Times New Roman" w:cs="Times New Roman" w:eastAsia="Times New Roman" w:hAnsi="Times New Roman"/>
          <w:sz w:val="20"/>
          <w:szCs w:val="20"/>
          <w:color w:val="auto"/>
        </w:rPr>
        <w:t>. The Company agrees that, unless it obtains the prior written consent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w:t>
      </w:r>
      <w:r>
        <w:rPr>
          <w:rFonts w:ascii="Times New Roman" w:cs="Times New Roman" w:eastAsia="Times New Roman" w:hAnsi="Times New Roman"/>
          <w:sz w:val="20"/>
          <w:szCs w:val="20"/>
          <w:u w:val="single" w:color="auto"/>
          <w:color w:val="auto"/>
        </w:rPr>
        <w:t>Schedule B-2</w:t>
      </w:r>
      <w:r>
        <w:rPr>
          <w:rFonts w:ascii="Times New Roman" w:cs="Times New Roman" w:eastAsia="Times New Roman" w:hAnsi="Times New Roman"/>
          <w:sz w:val="20"/>
          <w:szCs w:val="20"/>
          <w:color w:val="auto"/>
        </w:rPr>
        <w:t xml:space="preserve">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67" w:lineRule="exact"/>
        <w:rPr>
          <w:rFonts w:ascii="Times New Roman" w:cs="Times New Roman" w:eastAsia="Times New Roman" w:hAnsi="Times New Roman"/>
          <w:sz w:val="20"/>
          <w:szCs w:val="20"/>
          <w:color w:val="auto"/>
        </w:rPr>
      </w:pPr>
    </w:p>
    <w:p>
      <w:pPr>
        <w:jc w:val="both"/>
        <w:ind w:firstLine="656"/>
        <w:spacing w:after="0" w:line="217" w:lineRule="auto"/>
        <w:tabs>
          <w:tab w:leader="none" w:pos="129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Testing-the-Waters Materials</w:t>
      </w:r>
      <w:r>
        <w:rPr>
          <w:rFonts w:ascii="Times New Roman" w:cs="Times New Roman" w:eastAsia="Times New Roman" w:hAnsi="Times New Roman"/>
          <w:sz w:val="20"/>
          <w:szCs w:val="20"/>
          <w:color w:val="auto"/>
        </w:rPr>
        <w:t>. If at any time following the distribution of any Written Testing-the-Waters Communication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56"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Warrant Shares Reserved</w:t>
      </w:r>
      <w:r>
        <w:rPr>
          <w:rFonts w:ascii="Times New Roman" w:cs="Times New Roman" w:eastAsia="Times New Roman" w:hAnsi="Times New Roman"/>
          <w:sz w:val="20"/>
          <w:szCs w:val="20"/>
          <w:color w:val="auto"/>
        </w:rPr>
        <w:t>. The Company shall, at all times while any Pre-Funded Warrants are outstanding, reserve and keep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available out of its authorized but unissued and otherwise unreserved shares of Common Stock, solely for the purpose of enabling it to issue Warrant Shares upon exercise of such Pre-Funded Warrants, the number of Warrant Shares that are initially issuable and deliverable upon exercise of the then outstanding 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99" w:right="339" w:bottom="1440" w:gutter="0" w:footer="0" w:header="0"/>
        </w:sectPr>
      </w:pPr>
    </w:p>
    <w:bookmarkStart w:id="28" w:name="page29"/>
    <w:bookmarkEnd w:id="28"/>
    <w:p>
      <w:pPr>
        <w:jc w:val="both"/>
        <w:ind w:firstLine="656"/>
        <w:spacing w:after="0" w:line="223" w:lineRule="auto"/>
        <w:tabs>
          <w:tab w:leader="none" w:pos="12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Registration Statement for the Pre-Funded Warrants</w:t>
      </w:r>
      <w:r>
        <w:rPr>
          <w:rFonts w:ascii="Times New Roman" w:cs="Times New Roman" w:eastAsia="Times New Roman" w:hAnsi="Times New Roman"/>
          <w:sz w:val="20"/>
          <w:szCs w:val="20"/>
          <w:color w:val="auto"/>
        </w:rPr>
        <w:t>. The Company shall, at all times while any Pre-Funded Warrants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use its commercially reasonable best efforts to maintain a registration statement covering the issue and sale of the Warrant Shares upon exercise of the Pre-Funded Warrants such that the Warrant Shares, when issued, will not be subject to resale restrictions under the 1933 Act except to the extent that the Warrant Shares are owned by affiliates.</w:t>
      </w:r>
    </w:p>
    <w:p>
      <w:pPr>
        <w:spacing w:after="0" w:line="200" w:lineRule="exact"/>
        <w:rPr>
          <w:sz w:val="20"/>
          <w:szCs w:val="20"/>
          <w:color w:val="auto"/>
        </w:rPr>
      </w:pPr>
    </w:p>
    <w:p>
      <w:pPr>
        <w:spacing w:after="0" w:line="31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Payment of Expenses</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656"/>
        <w:spacing w:after="0" w:line="209" w:lineRule="auto"/>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Expenses</w:t>
      </w:r>
      <w:r>
        <w:rPr>
          <w:rFonts w:ascii="Times New Roman" w:cs="Times New Roman" w:eastAsia="Times New Roman" w:hAnsi="Times New Roman"/>
          <w:sz w:val="20"/>
          <w:szCs w:val="20"/>
          <w:color w:val="auto"/>
        </w:rPr>
        <w:t>. The Company will pay or cause to be paid all expenses incident to the performance of its obligations under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Shares to the Underwriters and the Pre-Funded Warrants to the purchasers,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(viii) the filing fees incident to, and the reasonable fees and disbursements of counsel to the Underwriters in connection with, the review by FINRA of the terms of the sale of the Securities, with such legal fees, taken together with the legal fees described in clause (v) above, not to exceed $20,000, (ix) the fees and expenses incurred in connection with the listing of the Shares and the Warrant Shares on the Nasdaq Global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Except as provided in this Section 4, the Underwriters will pay all of their own costs and expenses, including the fees and disbursements of their counsel, stock transfer taxes payable on the resale of any of the Securities by them and any advertising expenses connected with any offers they may make.</w:t>
      </w:r>
    </w:p>
    <w:p>
      <w:pPr>
        <w:spacing w:after="0" w:line="159"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of Agreement</w:t>
      </w:r>
      <w:r>
        <w:rPr>
          <w:rFonts w:ascii="Times New Roman" w:cs="Times New Roman" w:eastAsia="Times New Roman" w:hAnsi="Times New Roman"/>
          <w:sz w:val="20"/>
          <w:szCs w:val="20"/>
          <w:color w:val="auto"/>
        </w:rPr>
        <w:t>. If this Agreement is terminated by the Representatives in accordance with the provisions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5, Section 9(a)(i), Section 9(a)(iii) or Section 10 hereof, the Company shall reimburse the non-defaulting Underwriters for all of their reasonable documented out-of-pocket expenses actually incurred, including the reasonable fees and disbursements of counsel for the Underwriters.</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20"/>
          <w:szCs w:val="20"/>
          <w:u w:val="single" w:color="auto"/>
          <w:color w:val="auto"/>
        </w:rPr>
        <w:t>Conditions of Underwriters’ Obligations</w:t>
      </w:r>
      <w:r>
        <w:rPr>
          <w:rFonts w:ascii="Times New Roman" w:cs="Times New Roman" w:eastAsia="Times New Roman" w:hAnsi="Times New Roman"/>
          <w:sz w:val="20"/>
          <w:szCs w:val="20"/>
          <w:color w:val="auto"/>
        </w:rPr>
        <w:t>. The obligations of the several Underwriters hereunder are subject to the</w:t>
      </w:r>
    </w:p>
    <w:p>
      <w:pPr>
        <w:spacing w:after="0" w:line="204" w:lineRule="auto"/>
        <w:rPr>
          <w:sz w:val="20"/>
          <w:szCs w:val="20"/>
          <w:color w:val="auto"/>
        </w:rPr>
      </w:pPr>
      <w:r>
        <w:rPr>
          <w:rFonts w:ascii="Times New Roman" w:cs="Times New Roman" w:eastAsia="Times New Roman" w:hAnsi="Times New Roman"/>
          <w:sz w:val="20"/>
          <w:szCs w:val="20"/>
          <w:color w:val="auto"/>
        </w:rPr>
        <w:t>accuracy of the representations and warranties of the Company contained herein or in certificates of any officer of the Company or any of its Subsidiaries delivered pursuant to the provisions hereof, to the performance by the Company of its covenants and other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hereunder, and to the following further conditions:</w:t>
      </w:r>
    </w:p>
    <w:p>
      <w:pPr>
        <w:spacing w:after="0" w:line="163" w:lineRule="exact"/>
        <w:rPr>
          <w:sz w:val="20"/>
          <w:szCs w:val="20"/>
          <w:color w:val="auto"/>
        </w:rPr>
      </w:pPr>
    </w:p>
    <w:p>
      <w:pPr>
        <w:jc w:val="both"/>
        <w:ind w:firstLine="656"/>
        <w:spacing w:after="0" w:line="223" w:lineRule="auto"/>
        <w:tabs>
          <w:tab w:leader="none" w:pos="128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Effectiveness of Registration Statement</w:t>
      </w:r>
      <w:r>
        <w:rPr>
          <w:rFonts w:ascii="Times New Roman" w:cs="Times New Roman" w:eastAsia="Times New Roman" w:hAnsi="Times New Roman"/>
          <w:sz w:val="20"/>
          <w:szCs w:val="20"/>
          <w:color w:val="auto"/>
        </w:rPr>
        <w:t>. The Registration Statement, including any Rule 462(b) Registration Statement,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color w:val="auto"/>
        </w:rPr>
        <w:t>pending or, to the Company’s knowledge, contemplated; and the Company has complied with each request (if any) from the Commission for additional information to the reasonable satisfaction of counsel to the Underwriters.</w:t>
      </w:r>
    </w:p>
    <w:p>
      <w:pPr>
        <w:spacing w:after="0" w:line="144" w:lineRule="exact"/>
        <w:rPr>
          <w:sz w:val="20"/>
          <w:szCs w:val="20"/>
          <w:color w:val="auto"/>
        </w:rPr>
      </w:pPr>
    </w:p>
    <w:p>
      <w:pPr>
        <w:jc w:val="both"/>
        <w:ind w:firstLine="656"/>
        <w:spacing w:after="0" w:line="223" w:lineRule="auto"/>
        <w:tabs>
          <w:tab w:leader="none" w:pos="1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Opinion of Counsel for Company</w:t>
      </w:r>
      <w:r>
        <w:rPr>
          <w:rFonts w:ascii="Times New Roman" w:cs="Times New Roman" w:eastAsia="Times New Roman" w:hAnsi="Times New Roman"/>
          <w:sz w:val="20"/>
          <w:szCs w:val="20"/>
          <w:color w:val="auto"/>
        </w:rPr>
        <w:t>. At the Closing Time, the Representatives shall have received the opinion and the negative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assurance letter, each dated the Closing Time, of Gibson, Dunn &amp; Crutcher LLP, counsel for the Company, together with the opinion of Foley Hoag LLP, special counsel for the Company with respect to intellectual property matters, each in form and substance satisfactory to counsel for the Underwriters.</w:t>
      </w:r>
    </w:p>
    <w:p>
      <w:pPr>
        <w:spacing w:after="0" w:line="157"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Opinion of Counsel for Underwriters</w:t>
      </w:r>
      <w:r>
        <w:rPr>
          <w:rFonts w:ascii="Times New Roman" w:cs="Times New Roman" w:eastAsia="Times New Roman" w:hAnsi="Times New Roman"/>
          <w:sz w:val="20"/>
          <w:szCs w:val="20"/>
          <w:color w:val="auto"/>
        </w:rPr>
        <w:t>. At the Closing Time, the Representatives shall have received the opinion, and negative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assurance letter, each dated the Closing Time, of Cooley LLP, counsel for the Underwriters, together with signed or reproduced copies of such letters for each of the other Underwriters in form and substance satisfactory to the Representatives.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57"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Officers’ Certificate</w:t>
      </w:r>
      <w:r>
        <w:rPr>
          <w:rFonts w:ascii="Times New Roman" w:cs="Times New Roman" w:eastAsia="Times New Roman" w:hAnsi="Times New Roman"/>
          <w:sz w:val="20"/>
          <w:szCs w:val="20"/>
          <w:color w:val="auto"/>
        </w:rPr>
        <w:t>. At the Closing Time, there shall not have been, since the date hereof or since the respective dates as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in all material respects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165"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Accountant’s Comfort Letter</w:t>
      </w:r>
      <w:r>
        <w:rPr>
          <w:rFonts w:ascii="Times New Roman" w:cs="Times New Roman" w:eastAsia="Times New Roman" w:hAnsi="Times New Roman"/>
          <w:sz w:val="20"/>
          <w:szCs w:val="20"/>
          <w:color w:val="auto"/>
        </w:rPr>
        <w:t>. At the time of the execution of this Agreement, the Representatives shall have received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Deloitte &amp; Touche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57" w:lineRule="exact"/>
        <w:rPr>
          <w:rFonts w:ascii="Times New Roman" w:cs="Times New Roman" w:eastAsia="Times New Roman" w:hAnsi="Times New Roman"/>
          <w:sz w:val="20"/>
          <w:szCs w:val="20"/>
          <w:color w:val="auto"/>
        </w:rPr>
      </w:pPr>
    </w:p>
    <w:p>
      <w:pPr>
        <w:jc w:val="both"/>
        <w:ind w:firstLine="656"/>
        <w:spacing w:after="0" w:line="227" w:lineRule="auto"/>
        <w:tabs>
          <w:tab w:leader="none" w:pos="129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Bring-down Comfort Letter</w:t>
      </w:r>
      <w:r>
        <w:rPr>
          <w:rFonts w:ascii="Times New Roman" w:cs="Times New Roman" w:eastAsia="Times New Roman" w:hAnsi="Times New Roman"/>
          <w:sz w:val="20"/>
          <w:szCs w:val="20"/>
          <w:color w:val="auto"/>
        </w:rPr>
        <w:t>. At the Closing Time, the Representatives shall have received from Deloitte &amp; Touche LLP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letter, dated as of the 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57" w:lineRule="exact"/>
        <w:rPr>
          <w:rFonts w:ascii="Times New Roman" w:cs="Times New Roman" w:eastAsia="Times New Roman" w:hAnsi="Times New Roman"/>
          <w:sz w:val="20"/>
          <w:szCs w:val="20"/>
          <w:color w:val="auto"/>
        </w:rPr>
      </w:pPr>
    </w:p>
    <w:p>
      <w:pPr>
        <w:ind w:right="20" w:firstLine="656"/>
        <w:spacing w:after="0" w:line="245" w:lineRule="auto"/>
        <w:tabs>
          <w:tab w:leader="none" w:pos="1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Approval of Listing</w:t>
      </w:r>
      <w:r>
        <w:rPr>
          <w:rFonts w:ascii="Times New Roman" w:cs="Times New Roman" w:eastAsia="Times New Roman" w:hAnsi="Times New Roman"/>
          <w:sz w:val="20"/>
          <w:szCs w:val="20"/>
          <w:color w:val="auto"/>
        </w:rPr>
        <w:t>. At the Closing Time, the Nasdaq Stock Market LLC shall not have raised any objection to the listing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Shares and the Warrant Shares on the Nasdaq Global Market.</w:t>
      </w:r>
    </w:p>
    <w:p>
      <w:pPr>
        <w:spacing w:after="0" w:line="137"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Objection</w:t>
      </w:r>
      <w:r>
        <w:rPr>
          <w:rFonts w:ascii="Times New Roman" w:cs="Times New Roman" w:eastAsia="Times New Roman" w:hAnsi="Times New Roman"/>
          <w:sz w:val="20"/>
          <w:szCs w:val="20"/>
          <w:color w:val="auto"/>
        </w:rPr>
        <w:t>. FINRA has confirmed that it has not raised any objection with respect to the fairness and reasonableness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underwriting terms and arrangements relating to the offering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99" w:right="339" w:bottom="1440" w:gutter="0" w:footer="0" w:header="0"/>
        </w:sectPr>
      </w:pPr>
    </w:p>
    <w:bookmarkStart w:id="30" w:name="page31"/>
    <w:bookmarkEnd w:id="30"/>
    <w:p>
      <w:pPr>
        <w:ind w:left="-200" w:firstLine="656"/>
        <w:spacing w:after="0" w:line="245" w:lineRule="auto"/>
        <w:tabs>
          <w:tab w:leader="none" w:pos="109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Lock-up Agreements</w:t>
      </w:r>
      <w:r>
        <w:rPr>
          <w:rFonts w:ascii="Times New Roman" w:cs="Times New Roman" w:eastAsia="Times New Roman" w:hAnsi="Times New Roman"/>
          <w:sz w:val="20"/>
          <w:szCs w:val="20"/>
          <w:color w:val="auto"/>
        </w:rPr>
        <w:t>. At the date of this Agreement, the Representatives shall have received an agreement substantially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signed by each of the Company’s directors, officers and their respective affiliated securityholders.</w:t>
      </w:r>
    </w:p>
    <w:p>
      <w:pPr>
        <w:spacing w:after="0" w:line="137" w:lineRule="exact"/>
        <w:rPr>
          <w:rFonts w:ascii="Times New Roman" w:cs="Times New Roman" w:eastAsia="Times New Roman" w:hAnsi="Times New Roman"/>
          <w:sz w:val="20"/>
          <w:szCs w:val="20"/>
          <w:color w:val="auto"/>
        </w:rPr>
      </w:pPr>
    </w:p>
    <w:p>
      <w:pPr>
        <w:ind w:left="-200" w:right="20" w:firstLine="656"/>
        <w:spacing w:after="0" w:line="245" w:lineRule="auto"/>
        <w:tabs>
          <w:tab w:leader="none" w:pos="109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Maintenance of Rating</w:t>
      </w:r>
      <w:r>
        <w:rPr>
          <w:rFonts w:ascii="Times New Roman" w:cs="Times New Roman" w:eastAsia="Times New Roman" w:hAnsi="Times New Roman"/>
          <w:sz w:val="20"/>
          <w:szCs w:val="20"/>
          <w:color w:val="auto"/>
        </w:rPr>
        <w:t>. Neither the Company nor its Subsidiaries have any debt securities or preferred stock that are rated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“nationally recognized statistical rating organization” (as defined in Section 3(a)(62) of the 1934 Act).</w:t>
      </w:r>
    </w:p>
    <w:p>
      <w:pPr>
        <w:spacing w:after="0" w:line="151" w:lineRule="exact"/>
        <w:rPr>
          <w:rFonts w:ascii="Times New Roman" w:cs="Times New Roman" w:eastAsia="Times New Roman" w:hAnsi="Times New Roman"/>
          <w:sz w:val="20"/>
          <w:szCs w:val="20"/>
          <w:color w:val="auto"/>
        </w:rPr>
      </w:pPr>
    </w:p>
    <w:p>
      <w:pPr>
        <w:jc w:val="both"/>
        <w:ind w:left="-200" w:firstLine="656"/>
        <w:spacing w:after="0" w:line="223" w:lineRule="auto"/>
        <w:tabs>
          <w:tab w:leader="none" w:pos="10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Conditions to Purchase of Option Securities</w:t>
      </w:r>
      <w:r>
        <w:rPr>
          <w:rFonts w:ascii="Times New Roman" w:cs="Times New Roman" w:eastAsia="Times New Roman" w:hAnsi="Times New Roman"/>
          <w:sz w:val="20"/>
          <w:szCs w:val="20"/>
          <w:color w:val="auto"/>
        </w:rPr>
        <w:t>. In the event that the Underwriters exercise their option provided in Section 2(b)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hereof to 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161"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149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A certificate, dated such Date of Delivery, of the principal executive officer of the Company and of the principal financial officer of the Company confirming that the certificate delivered at the Closing Time pursuant to Section 5(d) hereof remains true and correct as of such Date of Delivery.</w:t>
      </w:r>
    </w:p>
    <w:p>
      <w:pPr>
        <w:spacing w:after="0" w:line="181" w:lineRule="exact"/>
        <w:rPr>
          <w:rFonts w:ascii="Times New Roman" w:cs="Times New Roman" w:eastAsia="Times New Roman" w:hAnsi="Times New Roman"/>
          <w:sz w:val="20"/>
          <w:szCs w:val="20"/>
          <w:color w:val="auto"/>
        </w:rPr>
      </w:pPr>
    </w:p>
    <w:p>
      <w:pPr>
        <w:jc w:val="both"/>
        <w:ind w:left="460" w:firstLine="644"/>
        <w:spacing w:after="0" w:line="253" w:lineRule="auto"/>
        <w:tabs>
          <w:tab w:leader="none" w:pos="162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 of Counsel for Company</w:t>
      </w:r>
      <w:r>
        <w:rPr>
          <w:rFonts w:ascii="Times New Roman" w:cs="Times New Roman" w:eastAsia="Times New Roman" w:hAnsi="Times New Roman"/>
          <w:sz w:val="20"/>
          <w:szCs w:val="20"/>
          <w:color w:val="auto"/>
        </w:rPr>
        <w:t>. If requested by the Representatives, the opinion and negative assurance letter of Gibson, Dunn &amp; Crutcher LLP, counsel for the Company, together with the opinion of Foley Hoag LLP, special counsel for the Company with respect to intellectual property matters, each in form and substance satisfactory to counsel for the Underwriters, dated such Date of Delivery, relating to the Option Securities to be purchased on such Date of Delivery and otherwise to the same effect as the opinions and negative assurance letter required by Section 5(b) hereof.</w:t>
      </w:r>
    </w:p>
    <w:p>
      <w:pPr>
        <w:spacing w:after="0" w:line="191"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164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 of Counsel for Underwriters</w:t>
      </w:r>
      <w:r>
        <w:rPr>
          <w:rFonts w:ascii="Times New Roman" w:cs="Times New Roman" w:eastAsia="Times New Roman" w:hAnsi="Times New Roman"/>
          <w:sz w:val="20"/>
          <w:szCs w:val="20"/>
          <w:color w:val="auto"/>
        </w:rPr>
        <w:t>. If requested by the Representatives, the opinion, and negative assurance letter, of Cooley LLP counsel for the Underwriters, dated such Date of Delivery, relating to the Option Securities to be purchased on such Date of Delivery and otherwise to the same effect as the opinion and negative assurance letter required by Section 5(c) hereof.</w:t>
      </w:r>
    </w:p>
    <w:p>
      <w:pPr>
        <w:spacing w:after="0" w:line="181" w:lineRule="exact"/>
        <w:rPr>
          <w:rFonts w:ascii="Times New Roman" w:cs="Times New Roman" w:eastAsia="Times New Roman" w:hAnsi="Times New Roman"/>
          <w:sz w:val="20"/>
          <w:szCs w:val="20"/>
          <w:color w:val="auto"/>
        </w:rPr>
      </w:pPr>
    </w:p>
    <w:p>
      <w:pPr>
        <w:jc w:val="both"/>
        <w:ind w:left="460" w:firstLine="644"/>
        <w:spacing w:after="0" w:line="258" w:lineRule="auto"/>
        <w:tabs>
          <w:tab w:leader="none" w:pos="165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Bring-down Comfort Letter</w:t>
      </w:r>
      <w:r>
        <w:rPr>
          <w:rFonts w:ascii="Times New Roman" w:cs="Times New Roman" w:eastAsia="Times New Roman" w:hAnsi="Times New Roman"/>
          <w:sz w:val="20"/>
          <w:szCs w:val="20"/>
          <w:color w:val="auto"/>
        </w:rPr>
        <w:t>. If requested by the Representatives, a letter from Deloitte &amp; Touche LLP, in form and substance satisfactory to the Representatives and dated such Date of Delivery, substantially in the same form and substance as the letter furnished to the Representatives pursuant to subsection (f) of this Section, except that the “specified date” in the letter furnished pursuant to this paragraph shall be a date not more than three business days prior to such Date of Delivery.</w:t>
      </w:r>
    </w:p>
    <w:p>
      <w:pPr>
        <w:spacing w:after="0" w:line="154" w:lineRule="exact"/>
        <w:rPr>
          <w:rFonts w:ascii="Times New Roman" w:cs="Times New Roman" w:eastAsia="Times New Roman" w:hAnsi="Times New Roman"/>
          <w:sz w:val="20"/>
          <w:szCs w:val="20"/>
          <w:color w:val="auto"/>
        </w:rPr>
      </w:pPr>
    </w:p>
    <w:p>
      <w:pPr>
        <w:jc w:val="both"/>
        <w:ind w:left="-200" w:firstLine="656"/>
        <w:spacing w:after="0" w:line="217" w:lineRule="auto"/>
        <w:tabs>
          <w:tab w:leader="none" w:pos="109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Additional Documents</w:t>
      </w:r>
      <w:r>
        <w:rPr>
          <w:rFonts w:ascii="Times New Roman" w:cs="Times New Roman" w:eastAsia="Times New Roman" w:hAnsi="Times New Roman"/>
          <w:sz w:val="20"/>
          <w:szCs w:val="20"/>
          <w:color w:val="auto"/>
        </w:rPr>
        <w:t>. At the Closing Time and at each Date of Delivery (if any), counsel for the Underwriters shall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been furnished with such other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56" w:lineRule="exact"/>
        <w:rPr>
          <w:rFonts w:ascii="Times New Roman" w:cs="Times New Roman" w:eastAsia="Times New Roman" w:hAnsi="Times New Roman"/>
          <w:sz w:val="20"/>
          <w:szCs w:val="20"/>
          <w:color w:val="auto"/>
        </w:rPr>
      </w:pPr>
    </w:p>
    <w:p>
      <w:pPr>
        <w:jc w:val="both"/>
        <w:ind w:left="-200" w:firstLine="656"/>
        <w:spacing w:after="0" w:line="223" w:lineRule="auto"/>
        <w:tabs>
          <w:tab w:leader="none" w:pos="108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of Agreement</w:t>
      </w:r>
      <w:r>
        <w:rPr>
          <w:rFonts w:ascii="Times New Roman" w:cs="Times New Roman" w:eastAsia="Times New Roman" w:hAnsi="Times New Roman"/>
          <w:sz w:val="20"/>
          <w:szCs w:val="20"/>
          <w:color w:val="auto"/>
        </w:rPr>
        <w:t>. If any condition specified in this Section shall not have been fulfilled when and as required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040"/>
          </w:cols>
          <w:pgMar w:left="520" w:top="139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Delivery, as the case may be, and such termination shall be without liability of any party to any other party except as provided in Section 4 and except that Sections 1, 4, 6, 7, 8, 14, 15 and 16 shall survive any such termination and remain in full force and effect.</w:t>
      </w:r>
    </w:p>
    <w:p>
      <w:pPr>
        <w:spacing w:after="0" w:line="144" w:lineRule="exact"/>
        <w:rPr>
          <w:sz w:val="20"/>
          <w:szCs w:val="20"/>
          <w:color w:val="auto"/>
        </w:rPr>
      </w:pPr>
    </w:p>
    <w:p>
      <w:pPr>
        <w:ind w:firstLine="656"/>
        <w:spacing w:after="0" w:line="245" w:lineRule="auto"/>
        <w:tabs>
          <w:tab w:leader="none" w:pos="12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Form of Pre-Funded Warrant</w:t>
      </w:r>
      <w:r>
        <w:rPr>
          <w:rFonts w:ascii="Times New Roman" w:cs="Times New Roman" w:eastAsia="Times New Roman" w:hAnsi="Times New Roman"/>
          <w:sz w:val="20"/>
          <w:szCs w:val="20"/>
          <w:color w:val="auto"/>
        </w:rPr>
        <w:t>. The Representatives shall have received a form of the Pre-Funded Warrant, in form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substance reasonably satisfactory to the Representatives.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656"/>
        <w:spacing w:after="0" w:line="232" w:lineRule="auto"/>
        <w:tabs>
          <w:tab w:leader="none" w:pos="128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Indemnification of Underwriters</w:t>
      </w:r>
      <w:r>
        <w:rPr>
          <w:rFonts w:ascii="Times New Roman" w:cs="Times New Roman" w:eastAsia="Times New Roman" w:hAnsi="Times New Roman"/>
          <w:sz w:val="20"/>
          <w:szCs w:val="20"/>
          <w:color w:val="auto"/>
        </w:rPr>
        <w:t>. The Company agrees to indemnify and hold harmless each Underwriter, its affiliates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term is defined in Rule 501(b) under the 1933 Act (each, an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its selling agents and each person, if any, who controls any Underwriter within the meaning of Section 15 of the 1933 Act or Section 20 of the 1934 Act as follows: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839"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cs="Times New Roman" w:eastAsia="Times New Roman" w:hAnsi="Times New Roman"/>
          <w:sz w:val="20"/>
          <w:szCs w:val="20"/>
          <w:u w:val="single" w:color="auto"/>
          <w:color w:val="auto"/>
        </w:rPr>
        <w:t>Marketing Materials</w:t>
      </w:r>
      <w:r>
        <w:rPr>
          <w:rFonts w:ascii="Times New Roman" w:cs="Times New Roman" w:eastAsia="Times New Roman" w:hAnsi="Times New Roman"/>
          <w:sz w:val="20"/>
          <w:szCs w:val="20"/>
          <w:color w:val="auto"/>
        </w:rPr>
        <w:t>”),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1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78"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against any and all documented out-of-pocket expense whatsoever, as incurred (including the documented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9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any amendment or supplement thereto) in reliance upon and in conformity with the Underwriter Information.</w:t>
      </w:r>
    </w:p>
    <w:p>
      <w:pPr>
        <w:spacing w:after="0" w:line="212" w:lineRule="exact"/>
        <w:rPr>
          <w:sz w:val="20"/>
          <w:szCs w:val="20"/>
          <w:color w:val="auto"/>
        </w:rPr>
      </w:pPr>
    </w:p>
    <w:p>
      <w:pPr>
        <w:jc w:val="both"/>
        <w:ind w:firstLine="656"/>
        <w:spacing w:after="0" w:line="216" w:lineRule="auto"/>
        <w:tabs>
          <w:tab w:leader="none" w:pos="12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Indemnification of Company, Directors and Officers</w:t>
      </w:r>
      <w:r>
        <w:rPr>
          <w:rFonts w:ascii="Times New Roman" w:cs="Times New Roman" w:eastAsia="Times New Roman" w:hAnsi="Times New Roman"/>
          <w:sz w:val="20"/>
          <w:szCs w:val="20"/>
          <w:color w:val="auto"/>
        </w:rPr>
        <w:t>. Each Underwriter severally agrees to indemnify and hold harmless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44"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Actions against Parties; Notification</w:t>
      </w:r>
      <w:r>
        <w:rPr>
          <w:rFonts w:ascii="Times New Roman" w:cs="Times New Roman" w:eastAsia="Times New Roman" w:hAnsi="Times New Roman"/>
          <w:sz w:val="20"/>
          <w:szCs w:val="20"/>
          <w:color w:val="auto"/>
        </w:rPr>
        <w:t>. Each indemnified party shall give notice as promptly as reasonably practicable to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56" w:lineRule="exact"/>
        <w:rPr>
          <w:rFonts w:ascii="Times New Roman" w:cs="Times New Roman" w:eastAsia="Times New Roman" w:hAnsi="Times New Roman"/>
          <w:sz w:val="20"/>
          <w:szCs w:val="20"/>
          <w:color w:val="auto"/>
        </w:rPr>
      </w:pPr>
    </w:p>
    <w:p>
      <w:pPr>
        <w:jc w:val="both"/>
        <w:ind w:firstLine="656"/>
        <w:spacing w:after="0" w:line="219" w:lineRule="auto"/>
        <w:tabs>
          <w:tab w:leader="none" w:pos="12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Settlement without Consent if Failure to Reimburse</w:t>
      </w:r>
      <w:r>
        <w:rPr>
          <w:rFonts w:ascii="Times New Roman" w:cs="Times New Roman" w:eastAsia="Times New Roman" w:hAnsi="Times New Roman"/>
          <w:sz w:val="20"/>
          <w:szCs w:val="20"/>
          <w:color w:val="auto"/>
        </w:rPr>
        <w:t>. If at any time an indemnified party shall have requested an indemnifying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If the indemnification provided for in Section 6 hereof is for any reason unavailable to or insufficient to hold harmless an indemnified party in respect of any losses, liabilities, claims, damages or expenses referred to therein, then each</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indemnifying party shall contribute to the aggregate amount of such losses, liabilities, claims, damages and expenses incurred by such indemnified party, as incurred, (i) in such proportion as is appropriate to reflect the relative benefits received by the Company, on the one</w:t>
      </w:r>
    </w:p>
    <w:p>
      <w:pPr>
        <w:spacing w:after="0" w:line="223" w:lineRule="auto"/>
        <w:rPr>
          <w:sz w:val="20"/>
          <w:szCs w:val="20"/>
          <w:color w:val="auto"/>
        </w:rPr>
      </w:pPr>
      <w:r>
        <w:rPr>
          <w:rFonts w:ascii="Times New Roman" w:cs="Times New Roman" w:eastAsia="Times New Roman" w:hAnsi="Times New Roman"/>
          <w:sz w:val="19"/>
          <w:szCs w:val="19"/>
          <w:color w:val="auto"/>
        </w:rPr>
        <w:t>hand, and the Underwriters, on the other hand, from the offering of the Securities pursuant to this Agreement or (ii) if the allocation provided</w:t>
      </w:r>
    </w:p>
    <w:p>
      <w:pPr>
        <w:spacing w:after="0" w:line="204" w:lineRule="auto"/>
        <w:rPr>
          <w:sz w:val="20"/>
          <w:szCs w:val="20"/>
          <w:color w:val="auto"/>
        </w:rPr>
      </w:pPr>
      <w:r>
        <w:rPr>
          <w:rFonts w:ascii="Times New Roman" w:cs="Times New Roman" w:eastAsia="Times New Roman" w:hAnsi="Times New Roman"/>
          <w:sz w:val="20"/>
          <w:szCs w:val="20"/>
          <w:color w:val="auto"/>
        </w:rPr>
        <w:t>by clause (i) is not permitted by applicable law, in such proportion as is appropriate to reflect not only the relative benefits referred to in clause (i) above but also the relative fault of the Company, on the one hand, and of the Underwriters, on the other hand, in connection with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statements or omissions, which resulted in such losses, liabilities, claims, damages or expenses, as well as any other relevant equitable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(after deducting underwriting discounts and commissions but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person guilty of fraudulent misrepresentation (within the meaning of Section 11(f) of the 1933 Act) shall be entitled to contribution from any person who was not guilty of such fraudulent misrepresentation.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and not joint.</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Representations, Warranties and Agreements to Survive</w:t>
      </w:r>
      <w:r>
        <w:rPr>
          <w:rFonts w:ascii="Times New Roman" w:cs="Times New Roman" w:eastAsia="Times New Roman" w:hAnsi="Times New Roman"/>
          <w:sz w:val="20"/>
          <w:szCs w:val="20"/>
          <w:color w:val="auto"/>
        </w:rPr>
        <w:t>. All representations, warranties and agreements contained in this Agreement or in certificates of officers of the Company or any of its Subsidiaries submitted pursuant hereto, shall remain operative and</w:t>
      </w:r>
    </w:p>
    <w:p>
      <w:pPr>
        <w:spacing w:after="0" w:line="212" w:lineRule="auto"/>
        <w:rPr>
          <w:sz w:val="20"/>
          <w:szCs w:val="20"/>
          <w:color w:val="auto"/>
        </w:rPr>
      </w:pPr>
      <w:r>
        <w:rPr>
          <w:rFonts w:ascii="Times New Roman" w:cs="Times New Roman" w:eastAsia="Times New Roman" w:hAnsi="Times New Roman"/>
          <w:sz w:val="20"/>
          <w:szCs w:val="20"/>
          <w:color w:val="auto"/>
        </w:rPr>
        <w:t>in full force and effect regardless of (i) any investigation made by or on behalf of any Underwriter or its Affiliates or selling agents, any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person controlling any Underwriter, its officers or directors or any person controlling the Company and (ii) delivery of and payment for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34" w:name="page35"/>
    <w:bookmarkEnd w:id="34"/>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u w:val="single" w:color="auto"/>
          <w:color w:val="auto"/>
        </w:rPr>
        <w:t>Termination of Agreement</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656"/>
        <w:spacing w:after="0" w:line="210" w:lineRule="auto"/>
        <w:tabs>
          <w:tab w:leader="none" w:pos="128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w:t>
      </w:r>
      <w:r>
        <w:rPr>
          <w:rFonts w:ascii="Times New Roman" w:cs="Times New Roman" w:eastAsia="Times New Roman" w:hAnsi="Times New Roman"/>
          <w:sz w:val="20"/>
          <w:szCs w:val="20"/>
          <w:color w:val="auto"/>
        </w:rPr>
        <w:t>. The Representatives may terminate this Agreement, by notice to the Company, at any time at or prior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MKT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67" w:lineRule="exact"/>
        <w:rPr>
          <w:rFonts w:ascii="Times New Roman" w:cs="Times New Roman" w:eastAsia="Times New Roman" w:hAnsi="Times New Roman"/>
          <w:sz w:val="20"/>
          <w:szCs w:val="20"/>
          <w:color w:val="auto"/>
        </w:rPr>
      </w:pPr>
    </w:p>
    <w:p>
      <w:pPr>
        <w:jc w:val="both"/>
        <w:ind w:right="20" w:firstLine="656"/>
        <w:spacing w:after="0" w:line="227" w:lineRule="auto"/>
        <w:tabs>
          <w:tab w:leader="none" w:pos="12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Liabilities</w:t>
      </w:r>
      <w:r>
        <w:rPr>
          <w:rFonts w:ascii="Times New Roman" w:cs="Times New Roman" w:eastAsia="Times New Roman" w:hAnsi="Times New Roman"/>
          <w:sz w:val="20"/>
          <w:szCs w:val="20"/>
          <w:color w:val="auto"/>
        </w:rPr>
        <w:t>. If this Agreement is terminated pursuant to this Section, such termination shall be without liability of any party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other party except as provided in Section 4 hereof, and provided further that Sections 1, 4, 6, 7, 8, 15, 16 and 17 shall survive such termination and remain in full force and effect.</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Default by One or More of the Underwriters</w:t>
      </w:r>
      <w:r>
        <w:rPr>
          <w:rFonts w:ascii="Times New Roman" w:cs="Times New Roman" w:eastAsia="Times New Roman" w:hAnsi="Times New Roman"/>
          <w:sz w:val="20"/>
          <w:szCs w:val="20"/>
          <w:color w:val="auto"/>
        </w:rPr>
        <w:t>. If one or more of the Underwriters shall fail at the Closing Time or a Date of Delivery to purchase the Securities which it or they are obligated to purchase under this Agreement (the “</w:t>
      </w:r>
      <w:r>
        <w:rPr>
          <w:rFonts w:ascii="Times New Roman" w:cs="Times New Roman" w:eastAsia="Times New Roman" w:hAnsi="Times New Roman"/>
          <w:sz w:val="20"/>
          <w:szCs w:val="20"/>
          <w:u w:val="single" w:color="auto"/>
          <w:color w:val="auto"/>
        </w:rPr>
        <w:t>Defaulted Securities</w:t>
      </w:r>
      <w:r>
        <w:rPr>
          <w:rFonts w:ascii="Times New Roman" w:cs="Times New Roman" w:eastAsia="Times New Roman" w:hAnsi="Times New Roman"/>
          <w:sz w:val="20"/>
          <w:szCs w:val="20"/>
          <w:color w:val="auto"/>
        </w:rPr>
        <w:t>”),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Representatives shall have the right, within 24 hours thereafter, to make arrangements for one or more of the non-defaulting Underwriters, or any other underwriters, to purchase all, but not less than all, of the Defaulted Securities in such amounts as may be agreed upon and upon the</w:t>
      </w:r>
    </w:p>
    <w:p>
      <w:pPr>
        <w:spacing w:after="0"/>
        <w:rPr>
          <w:sz w:val="20"/>
          <w:szCs w:val="20"/>
          <w:color w:val="auto"/>
        </w:rPr>
      </w:pPr>
      <w:r>
        <w:rPr>
          <w:rFonts w:ascii="Times New Roman" w:cs="Times New Roman" w:eastAsia="Times New Roman" w:hAnsi="Times New Roman"/>
          <w:sz w:val="20"/>
          <w:szCs w:val="20"/>
          <w:color w:val="auto"/>
        </w:rPr>
        <w:t>terms herein set forth; if, however, the Representatives shall not have completed such arrangements within such 24-hour period, then:</w:t>
      </w:r>
    </w:p>
    <w:p>
      <w:pPr>
        <w:spacing w:after="0" w:line="167" w:lineRule="exact"/>
        <w:rPr>
          <w:sz w:val="20"/>
          <w:szCs w:val="20"/>
          <w:color w:val="auto"/>
        </w:rPr>
      </w:pPr>
    </w:p>
    <w:p>
      <w:pPr>
        <w:jc w:val="both"/>
        <w:ind w:left="660" w:firstLine="644"/>
        <w:spacing w:after="0" w:line="222" w:lineRule="auto"/>
        <w:tabs>
          <w:tab w:leader="none" w:pos="195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action taken pursuant to this Section shall relieve any defaulting Underwriter from liability in respect of its default.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99" w:right="339" w:bottom="1440" w:gutter="0" w:footer="0" w:header="0"/>
        </w:sectPr>
      </w:pPr>
    </w:p>
    <w:bookmarkStart w:id="35" w:name="page36"/>
    <w:bookmarkEnd w:id="35"/>
    <w:p>
      <w:pPr>
        <w:jc w:val="both"/>
        <w:spacing w:after="0" w:line="283" w:lineRule="auto"/>
        <w:rPr>
          <w:sz w:val="20"/>
          <w:szCs w:val="20"/>
          <w:color w:val="auto"/>
        </w:rPr>
      </w:pPr>
      <w:r>
        <w:rPr>
          <w:rFonts w:ascii="Times New Roman" w:cs="Times New Roman" w:eastAsia="Times New Roman" w:hAnsi="Times New Roman"/>
          <w:sz w:val="20"/>
          <w:szCs w:val="20"/>
          <w:color w:val="auto"/>
        </w:rPr>
        <w:t>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3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hereunder shall be in writing and shall be deemed to have been duly given if mailed or transmitted by any standard form of telecommunication. Notices to the Underwriters shall be directed to Leerink Partners</w:t>
      </w:r>
    </w:p>
    <w:p>
      <w:pPr>
        <w:spacing w:after="0" w:line="1" w:lineRule="exact"/>
        <w:rPr>
          <w:sz w:val="20"/>
          <w:szCs w:val="20"/>
          <w:color w:val="auto"/>
        </w:rPr>
      </w:pPr>
    </w:p>
    <w:p>
      <w:pPr>
        <w:jc w:val="both"/>
        <w:ind w:right="20"/>
        <w:spacing w:after="0" w:line="199" w:lineRule="auto"/>
        <w:rPr>
          <w:sz w:val="20"/>
          <w:szCs w:val="20"/>
          <w:color w:val="auto"/>
        </w:rPr>
      </w:pPr>
      <w:r>
        <w:rPr>
          <w:rFonts w:ascii="Times New Roman" w:cs="Times New Roman" w:eastAsia="Times New Roman" w:hAnsi="Times New Roman"/>
          <w:sz w:val="19"/>
          <w:szCs w:val="19"/>
          <w:color w:val="auto"/>
        </w:rPr>
        <w:t>at 1301 Avenue of the Americas,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 New York, New York, 10019, attention of Stuart R. Nayman, to Stifel, Nicolaus &amp; Company, Incorporated at 787 7th Avenue, 11th Floor, New York, New York 10019, attention of Equity Capital Markets, and to Guggenheim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330 Madison Avenue, New York, New York 10017, attention of Equity Syndicate.</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No Advisory or Fiduciary Relationship</w:t>
      </w:r>
      <w:r>
        <w:rPr>
          <w:rFonts w:ascii="Times New Roman" w:cs="Times New Roman" w:eastAsia="Times New Roman" w:hAnsi="Times New Roman"/>
          <w:sz w:val="20"/>
          <w:szCs w:val="20"/>
          <w:color w:val="auto"/>
        </w:rPr>
        <w:t>. The Company acknowledges and agrees that (a) the purchase and sale of the Securities pursuant to this Agreement, including the determination of the initial public offering price of the Securities and any related</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discounts and commissions, is an arm’s-length commercial transaction between the Company, on the one hand, and the several Underwriters, on the other hand, (b) in connection with the offering of the Securities and the process leading thereto, each Underwriter is and has been</w:t>
      </w:r>
    </w:p>
    <w:p>
      <w:pPr>
        <w:spacing w:after="0" w:line="222" w:lineRule="auto"/>
        <w:rPr>
          <w:sz w:val="20"/>
          <w:szCs w:val="20"/>
          <w:color w:val="auto"/>
        </w:rPr>
      </w:pPr>
      <w:r>
        <w:rPr>
          <w:rFonts w:ascii="Times New Roman" w:cs="Times New Roman" w:eastAsia="Times New Roman" w:hAnsi="Times New Roman"/>
          <w:sz w:val="19"/>
          <w:szCs w:val="19"/>
          <w:color w:val="auto"/>
        </w:rPr>
        <w:t>acting solely as a principal and is not the agent or fiduciary of the Company, any of its Subsidiaries or their respective stockholders, creditors,</w:t>
      </w:r>
    </w:p>
    <w:p>
      <w:pPr>
        <w:jc w:val="both"/>
        <w:spacing w:after="0" w:line="215" w:lineRule="auto"/>
        <w:rPr>
          <w:sz w:val="20"/>
          <w:szCs w:val="20"/>
          <w:color w:val="auto"/>
        </w:rPr>
      </w:pPr>
      <w:r>
        <w:rPr>
          <w:rFonts w:ascii="Times New Roman" w:cs="Times New Roman" w:eastAsia="Times New Roman" w:hAnsi="Times New Roman"/>
          <w:sz w:val="19"/>
          <w:szCs w:val="19"/>
          <w:color w:val="auto"/>
        </w:rPr>
        <w:t>employees or any other party, (c) no Underwriter has assumed or will assume an advisory or fiduciary responsibility in favor of the Company with respect to the offering of the Securities or the process leading thereto (irrespective of whether such Underwriter has advised or is</w:t>
      </w:r>
    </w:p>
    <w:p>
      <w:pPr>
        <w:spacing w:after="0" w:line="211" w:lineRule="auto"/>
        <w:rPr>
          <w:sz w:val="20"/>
          <w:szCs w:val="20"/>
          <w:color w:val="auto"/>
        </w:rPr>
      </w:pPr>
      <w:r>
        <w:rPr>
          <w:rFonts w:ascii="Times New Roman" w:cs="Times New Roman" w:eastAsia="Times New Roman" w:hAnsi="Times New Roman"/>
          <w:sz w:val="20"/>
          <w:szCs w:val="20"/>
          <w:color w:val="auto"/>
        </w:rPr>
        <w:t>currently advising the Company or any of its Subsidiaries on other matters) and no Underwriter has any obligation to the Company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respect to the offering of the Securities except the obligations expressly set forth in this Agreement, (d) the Underwriters and their respective affiliates may be engaged in a broad range of transactions that involve interests that differ from those of the Company and (e)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Recognition of the U.S. Special Resolution Regimes</w:t>
      </w:r>
      <w:r>
        <w:rPr>
          <w:rFonts w:ascii="Times New Roman" w:cs="Times New Roman" w:eastAsia="Times New Roman" w:hAnsi="Times New Roman"/>
          <w:sz w:val="20"/>
          <w:szCs w:val="20"/>
          <w:color w:val="auto"/>
        </w:rPr>
        <w:t>. In the event that any Underwriter that is a Covered Entity becomes subject to a proceeding under a U.S. Special Resolution Regime, the transfer from such Underwriter of this Agreement, and any</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interest and obligation in or under this Agreement, will be effective to the same extent as the transfer would be effective under the U.S. Special Resolution Regime if this Agreement, and any such interest and obligation, were governed by the laws of the United States or a state</w:t>
      </w:r>
    </w:p>
    <w:p>
      <w:pPr>
        <w:spacing w:after="0"/>
        <w:rPr>
          <w:sz w:val="20"/>
          <w:szCs w:val="20"/>
          <w:color w:val="auto"/>
        </w:rPr>
      </w:pPr>
      <w:r>
        <w:rPr>
          <w:rFonts w:ascii="Times New Roman" w:cs="Times New Roman" w:eastAsia="Times New Roman" w:hAnsi="Times New Roman"/>
          <w:sz w:val="20"/>
          <w:szCs w:val="20"/>
          <w:color w:val="auto"/>
        </w:rPr>
        <w:t>of the United States.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SECTION 14.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SECTION 15. 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36" w:name="page37"/>
    <w:bookmarkEnd w:id="36"/>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This Agreement shall inure to the benefit of and be binding upon the Underwriters and the Company and</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their respective successors. Nothing expressed or mentioned in this Agreement is intended or shall be construed to give any person, firm or corporation, other than the Underwriters and the Company and their respective successors and the controlling persons and officers and</w:t>
      </w:r>
    </w:p>
    <w:p>
      <w:pPr>
        <w:spacing w:after="0" w:line="211" w:lineRule="auto"/>
        <w:rPr>
          <w:sz w:val="20"/>
          <w:szCs w:val="20"/>
          <w:color w:val="auto"/>
        </w:rPr>
      </w:pPr>
      <w:r>
        <w:rPr>
          <w:rFonts w:ascii="Times New Roman" w:cs="Times New Roman" w:eastAsia="Times New Roman" w:hAnsi="Times New Roman"/>
          <w:sz w:val="20"/>
          <w:szCs w:val="20"/>
          <w:color w:val="auto"/>
        </w:rPr>
        <w:t>directors referred to in Sections 6 and 7 and their heirs and legal representatives, any legal or equitable right, remedy or claim under or 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respect of this Agreement or any provision herein contained. This Agreement and all conditions and provisions hereof are intended to be for the sole and exclusive benefit of the Underwriters and the Company and their respective successors, and said controlling persons and officers</w:t>
      </w:r>
    </w:p>
    <w:p>
      <w:pPr>
        <w:jc w:val="both"/>
        <w:spacing w:after="0" w:line="228" w:lineRule="auto"/>
        <w:rPr>
          <w:sz w:val="20"/>
          <w:szCs w:val="20"/>
          <w:color w:val="auto"/>
        </w:rPr>
      </w:pPr>
      <w:r>
        <w:rPr>
          <w:rFonts w:ascii="Times New Roman" w:cs="Times New Roman" w:eastAsia="Times New Roman" w:hAnsi="Times New Roman"/>
          <w:sz w:val="20"/>
          <w:szCs w:val="20"/>
          <w:color w:val="auto"/>
        </w:rPr>
        <w:t>and directors and their heirs and legal representatives, and for the benefit of no other person, firm or corporation. No purchaser of Securities from any Underwriter shall be deemed to be a successor by reason merely of such purchase.</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Waiver of Trial by Jury</w:t>
      </w:r>
      <w:r>
        <w:rPr>
          <w:rFonts w:ascii="Times New Roman" w:cs="Times New Roman" w:eastAsia="Times New Roman" w:hAnsi="Times New Roman"/>
          <w:sz w:val="20"/>
          <w:szCs w:val="20"/>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18.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19. </w:t>
      </w:r>
      <w:r>
        <w:rPr>
          <w:rFonts w:ascii="Times New Roman" w:cs="Times New Roman" w:eastAsia="Times New Roman" w:hAnsi="Times New Roman"/>
          <w:sz w:val="20"/>
          <w:szCs w:val="20"/>
          <w:u w:val="single" w:color="auto"/>
          <w:color w:val="auto"/>
        </w:rPr>
        <w:t>Consent to Jurisdiction; Waiver of Immunity</w:t>
      </w:r>
      <w:r>
        <w:rPr>
          <w:rFonts w:ascii="Times New Roman" w:cs="Times New Roman" w:eastAsia="Times New Roman" w:hAnsi="Times New Roman"/>
          <w:sz w:val="20"/>
          <w:szCs w:val="20"/>
          <w:color w:val="auto"/>
        </w:rPr>
        <w:t>. Any legal suit, action or proceeding arising out of or based upon this Agreement or the transactions contemplated hereby shall be instituted in (i) the federal courts of the United States of America located in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20"/>
          <w:szCs w:val="20"/>
          <w:u w:val="single" w:color="auto"/>
          <w:color w:val="auto"/>
        </w:rPr>
        <w:t>Specified Courts</w:t>
      </w:r>
      <w:r>
        <w:rPr>
          <w:rFonts w:ascii="Times New Roman" w:cs="Times New Roman" w:eastAsia="Times New Roman" w:hAnsi="Times New Roman"/>
          <w:sz w:val="20"/>
          <w:szCs w:val="20"/>
          <w:color w:val="auto"/>
        </w:rPr>
        <w:t>”), and each party irrevocably submits to the exclusive jurisdiction (except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for proceedings instituted in regard to the enforcement of a judgment of any such court, as to which such jurisdiction is non-exclusive) of such courts in any such suit, action or proceeding. Service of any process, summons, notice or document by mail to such party’s address set</w:t>
      </w:r>
    </w:p>
    <w:p>
      <w:pPr>
        <w:spacing w:after="0" w:line="211" w:lineRule="auto"/>
        <w:rPr>
          <w:sz w:val="20"/>
          <w:szCs w:val="20"/>
          <w:color w:val="auto"/>
        </w:rPr>
      </w:pPr>
      <w:r>
        <w:rPr>
          <w:rFonts w:ascii="Times New Roman" w:cs="Times New Roman" w:eastAsia="Times New Roman" w:hAnsi="Times New Roman"/>
          <w:sz w:val="20"/>
          <w:szCs w:val="20"/>
          <w:color w:val="auto"/>
        </w:rPr>
        <w:t>forth above shall be effective service of process for any suit, action or other proceeding brought in any such court. The parties irrevocably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w:t>
      </w:r>
    </w:p>
    <w:p>
      <w:pPr>
        <w:spacing w:after="0"/>
        <w:rPr>
          <w:sz w:val="20"/>
          <w:szCs w:val="20"/>
          <w:color w:val="auto"/>
        </w:rPr>
      </w:pPr>
      <w:r>
        <w:rPr>
          <w:rFonts w:ascii="Times New Roman" w:cs="Times New Roman" w:eastAsia="Times New Roman" w:hAnsi="Times New Roman"/>
          <w:sz w:val="20"/>
          <w:szCs w:val="20"/>
          <w:color w:val="auto"/>
        </w:rPr>
        <w:t>court has been brought in an inconvenient forum.</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20. </w:t>
      </w:r>
      <w:r>
        <w:rPr>
          <w:rFonts w:ascii="Times New Roman" w:cs="Times New Roman" w:eastAsia="Times New Roman" w:hAnsi="Times New Roman"/>
          <w:sz w:val="20"/>
          <w:szCs w:val="20"/>
          <w:u w:val="single" w:color="auto"/>
          <w:color w:val="auto"/>
        </w:rPr>
        <w:t>TIME</w:t>
      </w:r>
      <w:r>
        <w:rPr>
          <w:rFonts w:ascii="Times New Roman" w:cs="Times New Roman" w:eastAsia="Times New Roman" w:hAnsi="Times New Roman"/>
          <w:sz w:val="20"/>
          <w:szCs w:val="20"/>
          <w:color w:val="auto"/>
        </w:rPr>
        <w:t>. TIME SHALL BE OF THE ESSENCE OF THIS AGREEMENT. EXCEPT AS OTHERWISE SET FORTH HEREIN, SPECIFIED TIMES OF DAY REFER TO NEW YORK CITY TIME.</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u w:val="single" w:color="auto"/>
          <w:color w:val="auto"/>
        </w:rPr>
        <w:t>Partial Unenforceability</w:t>
      </w:r>
      <w:r>
        <w:rPr>
          <w:rFonts w:ascii="Times New Roman" w:cs="Times New Roman" w:eastAsia="Times New Roman" w:hAnsi="Times New Roman"/>
          <w:sz w:val="19"/>
          <w:szCs w:val="19"/>
          <w:color w:val="auto"/>
        </w:rPr>
        <w:t>. The invalidity or unenforceability of any Section, paragraph or provision of this Agreement</w:t>
      </w:r>
    </w:p>
    <w:p>
      <w:pPr>
        <w:jc w:val="both"/>
        <w:spacing w:after="0" w:line="204" w:lineRule="auto"/>
        <w:rPr>
          <w:sz w:val="20"/>
          <w:szCs w:val="20"/>
          <w:color w:val="auto"/>
        </w:rPr>
      </w:pPr>
      <w:r>
        <w:rPr>
          <w:rFonts w:ascii="Times New Roman" w:cs="Times New Roman" w:eastAsia="Times New Roman" w:hAnsi="Times New Roman"/>
          <w:sz w:val="20"/>
          <w:szCs w:val="20"/>
          <w:color w:val="auto"/>
        </w:rPr>
        <w:t>shall not affect the validity or enforceability of any other Section, paragraph or provision hereof. If any Section, paragraph or provision of this Agreement is for any reason determined to be invalid or unenforceable, there shall be deemed to be made such minor changes (and only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minor changes) as are necessary to make it valid and enforceable.</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(which may include counterparts delivered by any standard form of telecommunication), each of which shall be deemed to be an original, but all such counterparts shall</w:t>
      </w:r>
    </w:p>
    <w:p>
      <w:pPr>
        <w:spacing w:after="0" w:line="212" w:lineRule="auto"/>
        <w:rPr>
          <w:sz w:val="20"/>
          <w:szCs w:val="20"/>
          <w:color w:val="auto"/>
        </w:rPr>
      </w:pPr>
      <w:r>
        <w:rPr>
          <w:rFonts w:ascii="Times New Roman" w:cs="Times New Roman" w:eastAsia="Times New Roman" w:hAnsi="Times New Roman"/>
          <w:sz w:val="20"/>
          <w:szCs w:val="20"/>
          <w:color w:val="auto"/>
        </w:rPr>
        <w:t>together constitute one and the same agreement. Counterparts may be delivered via facsimile, electronic mail (including any electronic</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signature covered by the U.S. federal ESIGN Act of 2000, Uniform Electronic Transactions Act, the Electronic Signatures and Records Act or other applicable law, e.g., www.docusign.com) or other transmission method and any counterpart so delivered shall be deemed to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been duly and validly delivered and be valid and effective for all purposes.</w:t>
      </w:r>
    </w:p>
    <w:p>
      <w:pPr>
        <w:spacing w:after="0" w:line="14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herein are for convenience only and shall not affect the construction</w:t>
      </w: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94" w:right="339" w:bottom="1440" w:gutter="0" w:footer="0" w:header="0"/>
        </w:sectPr>
      </w:pPr>
    </w:p>
    <w:bookmarkStart w:id="37" w:name="page38"/>
    <w:bookmarkEnd w:id="37"/>
    <w:p>
      <w:pPr>
        <w:ind w:firstLine="648"/>
        <w:spacing w:after="0"/>
        <w:rPr>
          <w:sz w:val="20"/>
          <w:szCs w:val="20"/>
          <w:color w:val="auto"/>
        </w:rPr>
      </w:pPr>
      <w:r>
        <w:rPr>
          <w:rFonts w:ascii="Times New Roman" w:cs="Times New Roman" w:eastAsia="Times New Roman" w:hAnsi="Times New Roman"/>
          <w:sz w:val="20"/>
          <w:szCs w:val="20"/>
          <w:color w:val="auto"/>
        </w:rPr>
        <w:t xml:space="preserve">SECTION 24.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highlight w:val="white"/>
        </w:rPr>
        <w:t>. This Agreement supersedes all prior agreements and understandings (whether written or oral)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between the Company and the Underwriters, or any of them, with respect to the subject matter hereof.</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99" w:right="339" w:bottom="1440" w:gutter="0" w:footer="0" w:header="0"/>
        </w:sectPr>
      </w:pPr>
    </w:p>
    <w:bookmarkStart w:id="38" w:name="page39"/>
    <w:bookmarkEnd w:id="38"/>
    <w:p>
      <w:pPr>
        <w:jc w:val="both"/>
        <w:ind w:firstLine="237"/>
        <w:spacing w:after="0" w:line="261" w:lineRule="auto"/>
        <w:rPr>
          <w:sz w:val="20"/>
          <w:szCs w:val="20"/>
          <w:color w:val="auto"/>
        </w:rPr>
      </w:pPr>
      <w:r>
        <w:rPr>
          <w:rFonts w:ascii="Times New Roman" w:cs="Times New Roman" w:eastAsia="Times New Roman" w:hAnsi="Times New Roman"/>
          <w:sz w:val="20"/>
          <w:szCs w:val="20"/>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4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NEUROGENE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20"/>
        <w:spacing w:after="0"/>
        <w:tabs>
          <w:tab w:leader="none" w:pos="4740" w:val="left"/>
        </w:tabs>
        <w:rPr>
          <w:sz w:val="20"/>
          <w:szCs w:val="20"/>
          <w:color w:val="auto"/>
        </w:rPr>
      </w:pPr>
      <w:r>
        <w:rPr>
          <w:rFonts w:ascii="Times New Roman" w:cs="Times New Roman" w:eastAsia="Times New Roman" w:hAnsi="Times New Roman"/>
          <w:sz w:val="20"/>
          <w:szCs w:val="20"/>
          <w:color w:val="auto"/>
        </w:rPr>
        <w:t>By:</w:t>
        <w:tab/>
        <w:t>/s/ Christine Mikail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-10795</wp:posOffset>
            </wp:positionV>
            <wp:extent cx="1385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5570" cy="8255"/>
                    </a:xfrm>
                    <a:prstGeom prst="rect">
                      <a:avLst/>
                    </a:prstGeom>
                    <a:noFill/>
                  </pic:spPr>
                </pic:pic>
              </a:graphicData>
            </a:graphic>
          </wp:anchor>
        </w:drawing>
      </w:r>
    </w:p>
    <w:p>
      <w:pPr>
        <w:spacing w:after="0" w:line="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 Christine Mikail</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Title: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CONFIRMED AND ACCEPTED</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As of the date first above written: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LEERINK PARTNERS LLC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9400"/>
        <w:spacing w:after="0"/>
        <w:tabs>
          <w:tab w:leader="none" w:pos="107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Anurag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360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 w:lineRule="exact"/>
        <w:rPr>
          <w:sz w:val="20"/>
          <w:szCs w:val="20"/>
          <w:color w:val="auto"/>
        </w:rPr>
      </w:pPr>
    </w:p>
    <w:p>
      <w:pPr>
        <w:jc w:val="right"/>
        <w:ind w:right="9340"/>
        <w:spacing w:after="0"/>
        <w:rPr>
          <w:sz w:val="20"/>
          <w:szCs w:val="20"/>
          <w:color w:val="auto"/>
        </w:rPr>
      </w:pPr>
      <w:r>
        <w:rPr>
          <w:rFonts w:ascii="Times New Roman" w:cs="Times New Roman" w:eastAsia="Times New Roman" w:hAnsi="Times New Roman"/>
          <w:sz w:val="20"/>
          <w:szCs w:val="20"/>
          <w:color w:val="auto"/>
        </w:rPr>
        <w:t>Name: Anurag Jindal</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 Sr. Managing Director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STIFEL, NICOLAUS &amp; COMPANY, INCORPORATED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Nick 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165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Nick Oust</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GUGGENHEIM SECURITIES, LLC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Geoffrey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1630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Geoffrey Goodman</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 Senior Managing Director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themselves and as Representatives of the other Underwriters named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1240"/>
          </w:cols>
          <w:pgMar w:left="320" w:top="141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color w:val="auto"/>
        </w:rPr>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initial public offering price per Share shall be $30.00.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initial public offering price per Pre-Funded Warrant shall be $29.999999.</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purchase price per Share to be paid by the several Underwriters shall be $28.20, being an amount equal to the initial public offering price per Share set forth above less $1.80 per share, subject to adjustment in accordance with Section 2(b) for dividends or distributions declared by the Company and payable on the Initial Securities but not payable on the Option Securities.</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purchase price per Pre-Funded Warrant to be paid by the several Underwriters shall be $28.199999, being an amount equal to the initial public offering price per Pre-Funded Warrant set forth above less $1.80.</w:t>
      </w:r>
    </w:p>
    <w:p>
      <w:pPr>
        <w:spacing w:after="0" w:line="18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 of Underwriter</w:t>
            </w:r>
          </w:p>
        </w:tc>
        <w:tc>
          <w:tcPr>
            <w:tcW w:w="264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Number of</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Number of Pre-Funded</w:t>
            </w:r>
          </w:p>
        </w:tc>
        <w:tc>
          <w:tcPr>
            <w:tcW w:w="0" w:type="dxa"/>
            <w:vAlign w:val="bottom"/>
          </w:tcPr>
          <w:p>
            <w:pPr>
              <w:spacing w:after="0"/>
              <w:rPr>
                <w:sz w:val="1"/>
                <w:szCs w:val="1"/>
                <w:color w:val="auto"/>
              </w:rPr>
            </w:pPr>
          </w:p>
        </w:tc>
      </w:tr>
      <w:tr>
        <w:trPr>
          <w:trHeight w:val="258"/>
        </w:trPr>
        <w:tc>
          <w:tcPr>
            <w:tcW w:w="6060" w:type="dxa"/>
            <w:vAlign w:val="bottom"/>
            <w:vMerge w:val="continue"/>
          </w:tcPr>
          <w:p>
            <w:pPr>
              <w:spacing w:after="0"/>
              <w:rPr>
                <w:sz w:val="22"/>
                <w:szCs w:val="22"/>
                <w:color w:val="auto"/>
              </w:rPr>
            </w:pPr>
          </w:p>
        </w:tc>
        <w:tc>
          <w:tcPr>
            <w:tcW w:w="2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Initial Shares to be Purchased</w:t>
            </w:r>
          </w:p>
        </w:tc>
        <w:tc>
          <w:tcPr>
            <w:tcW w:w="2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Warrants to be Purchased</w:t>
            </w:r>
          </w:p>
        </w:tc>
        <w:tc>
          <w:tcPr>
            <w:tcW w:w="0" w:type="dxa"/>
            <w:vAlign w:val="bottom"/>
          </w:tcPr>
          <w:p>
            <w:pPr>
              <w:spacing w:after="0"/>
              <w:rPr>
                <w:sz w:val="1"/>
                <w:szCs w:val="1"/>
                <w:color w:val="auto"/>
              </w:rPr>
            </w:pPr>
          </w:p>
        </w:tc>
      </w:tr>
      <w:tr>
        <w:trPr>
          <w:trHeight w:val="531"/>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Leerink Partners LLC</w:t>
            </w:r>
          </w:p>
        </w:tc>
        <w:tc>
          <w:tcPr>
            <w:tcW w:w="26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1,414,142</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269,360</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Stifel, Nicolaus &amp; Company, Incorporated</w:t>
            </w:r>
          </w:p>
        </w:tc>
        <w:tc>
          <w:tcPr>
            <w:tcW w:w="26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742,424</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141,414</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Guggenheim Securities, LLC</w:t>
            </w:r>
          </w:p>
        </w:tc>
        <w:tc>
          <w:tcPr>
            <w:tcW w:w="26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707,071</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134,680</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LifeSci Capital LLC</w:t>
            </w:r>
          </w:p>
        </w:tc>
        <w:tc>
          <w:tcPr>
            <w:tcW w:w="26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353,535</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67,340</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William Blair &amp; Company, L.L.C.</w:t>
            </w:r>
          </w:p>
        </w:tc>
        <w:tc>
          <w:tcPr>
            <w:tcW w:w="26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282,828</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53,872</w:t>
            </w:r>
          </w:p>
        </w:tc>
        <w:tc>
          <w:tcPr>
            <w:tcW w:w="0" w:type="dxa"/>
            <w:vAlign w:val="bottom"/>
          </w:tcPr>
          <w:p>
            <w:pPr>
              <w:spacing w:after="0"/>
              <w:rPr>
                <w:sz w:val="1"/>
                <w:szCs w:val="1"/>
                <w:color w:val="auto"/>
              </w:rPr>
            </w:pPr>
          </w:p>
        </w:tc>
      </w:tr>
      <w:tr>
        <w:trPr>
          <w:trHeight w:val="567"/>
        </w:trPr>
        <w:tc>
          <w:tcPr>
            <w:tcW w:w="6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Total</w:t>
            </w:r>
          </w:p>
        </w:tc>
        <w:tc>
          <w:tcPr>
            <w:tcW w:w="26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3,500,000</w:t>
            </w:r>
          </w:p>
        </w:tc>
        <w:tc>
          <w:tcPr>
            <w:tcW w:w="2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666,666</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40" w:name="page41"/>
    <w:bookmarkEnd w:id="40"/>
    <w:p>
      <w:pPr>
        <w:jc w:val="center"/>
        <w:ind w:right="-11"/>
        <w:spacing w:after="0"/>
        <w:rPr>
          <w:sz w:val="20"/>
          <w:szCs w:val="20"/>
          <w:color w:val="auto"/>
        </w:rPr>
      </w:pPr>
      <w:r>
        <w:rPr>
          <w:rFonts w:ascii="Times New Roman" w:cs="Times New Roman" w:eastAsia="Times New Roman" w:hAnsi="Times New Roman"/>
          <w:sz w:val="20"/>
          <w:szCs w:val="20"/>
          <w:color w:val="auto"/>
        </w:rPr>
        <w:t>SCHEDULE B-1</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u w:val="single" w:color="auto"/>
          <w:color w:val="auto"/>
        </w:rPr>
        <w:t>Pricing Terms</w:t>
      </w:r>
    </w:p>
    <w:p>
      <w:pPr>
        <w:spacing w:after="0" w:line="216" w:lineRule="exact"/>
        <w:rPr>
          <w:sz w:val="20"/>
          <w:szCs w:val="20"/>
          <w:color w:val="auto"/>
        </w:rPr>
      </w:pPr>
    </w:p>
    <w:p>
      <w:pPr>
        <w:ind w:left="-8" w:firstLine="8"/>
        <w:spacing w:after="0" w:line="283" w:lineRule="auto"/>
        <w:tabs>
          <w:tab w:leader="none" w:pos="40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selling 3,500,000 shares of Common Stock and Pre-Funded Warrants to purchase up to 666,666 shares of Common Stock.</w:t>
      </w:r>
    </w:p>
    <w:p>
      <w:pPr>
        <w:spacing w:after="0" w:line="146" w:lineRule="exact"/>
        <w:rPr>
          <w:rFonts w:ascii="Times New Roman" w:cs="Times New Roman" w:eastAsia="Times New Roman" w:hAnsi="Times New Roman"/>
          <w:sz w:val="20"/>
          <w:szCs w:val="20"/>
          <w:color w:val="auto"/>
        </w:rPr>
      </w:pPr>
    </w:p>
    <w:p>
      <w:pPr>
        <w:ind w:left="-8" w:firstLine="8"/>
        <w:spacing w:after="0" w:line="283" w:lineRule="auto"/>
        <w:tabs>
          <w:tab w:leader="none" w:pos="40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granted an option to the Underwriters, severally and not jointly, to purchase up to an additional 624,999 shares of Common Stock.</w:t>
      </w:r>
    </w:p>
    <w:p>
      <w:pPr>
        <w:spacing w:after="0" w:line="15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public offering price per Share shall be $30.00. The initial public offering price per Pre-Funded Warrant shall be 29.999999.</w:t>
      </w:r>
    </w:p>
    <w:p>
      <w:pPr>
        <w:sectPr>
          <w:pgSz w:w="11900" w:h="16838" w:orient="portrait"/>
          <w:cols w:equalWidth="0" w:num="1">
            <w:col w:w="11232"/>
          </w:cols>
          <w:pgMar w:left="328" w:top="1413" w:right="339" w:bottom="1440" w:gutter="0" w:footer="0" w:header="0"/>
        </w:sectPr>
      </w:pPr>
    </w:p>
    <w:bookmarkStart w:id="41" w:name="page42"/>
    <w:bookmarkEnd w:id="41"/>
    <w:p>
      <w:pPr>
        <w:jc w:val="center"/>
        <w:ind w:right="-1100"/>
        <w:spacing w:after="0"/>
        <w:rPr>
          <w:sz w:val="20"/>
          <w:szCs w:val="20"/>
          <w:color w:val="auto"/>
        </w:rPr>
      </w:pPr>
      <w:r>
        <w:rPr>
          <w:rFonts w:ascii="Times New Roman" w:cs="Times New Roman" w:eastAsia="Times New Roman" w:hAnsi="Times New Roman"/>
          <w:sz w:val="20"/>
          <w:szCs w:val="20"/>
          <w:color w:val="auto"/>
        </w:rPr>
        <w:t>SCHEDULE B-2</w:t>
      </w:r>
    </w:p>
    <w:p>
      <w:pPr>
        <w:spacing w:after="0" w:line="229"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20"/>
          <w:szCs w:val="20"/>
          <w:u w:val="single" w:color="auto"/>
          <w:color w:val="auto"/>
        </w:rPr>
        <w:t>Free Writing Prospectuses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139"/>
          </w:cols>
          <w:pgMar w:left="320" w:top="1413" w:right="1440" w:bottom="1440" w:gutter="0" w:footer="0" w:header="0"/>
        </w:sectPr>
      </w:pPr>
    </w:p>
    <w:bookmarkStart w:id="42" w:name="page43"/>
    <w:bookmarkEnd w:id="42"/>
    <w:p>
      <w:pPr>
        <w:jc w:val="center"/>
        <w:ind w:right="-1100"/>
        <w:spacing w:after="0"/>
        <w:rPr>
          <w:sz w:val="20"/>
          <w:szCs w:val="20"/>
          <w:color w:val="auto"/>
        </w:rPr>
      </w:pPr>
      <w:r>
        <w:rPr>
          <w:rFonts w:ascii="Times New Roman" w:cs="Times New Roman" w:eastAsia="Times New Roman" w:hAnsi="Times New Roman"/>
          <w:sz w:val="20"/>
          <w:szCs w:val="20"/>
          <w:color w:val="auto"/>
        </w:rPr>
        <w:t>SCHEDULE B-3</w:t>
      </w:r>
    </w:p>
    <w:p>
      <w:pPr>
        <w:spacing w:after="0" w:line="229" w:lineRule="exact"/>
        <w:rPr>
          <w:sz w:val="20"/>
          <w:szCs w:val="20"/>
          <w:color w:val="auto"/>
        </w:rPr>
      </w:pPr>
    </w:p>
    <w:p>
      <w:pPr>
        <w:jc w:val="right"/>
        <w:ind w:right="2459"/>
        <w:spacing w:after="0"/>
        <w:rPr>
          <w:sz w:val="20"/>
          <w:szCs w:val="20"/>
          <w:color w:val="auto"/>
        </w:rPr>
      </w:pPr>
      <w:r>
        <w:rPr>
          <w:rFonts w:ascii="Times New Roman" w:cs="Times New Roman" w:eastAsia="Times New Roman" w:hAnsi="Times New Roman"/>
          <w:sz w:val="20"/>
          <w:szCs w:val="20"/>
          <w:u w:val="single" w:color="auto"/>
          <w:color w:val="auto"/>
        </w:rPr>
        <w:t>List of Written Testing-the-Waters Communications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39"/>
          </w:cols>
          <w:pgMar w:left="320" w:top="1413"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LOCK-UP AGREEMENT</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[DATE], 2026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Leerink Partners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Stifel, Nicolaus &amp; Company, Incorporated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Guggenheim Securities, LLC</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Representatives of the several Underwriters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Leerink Partners LLC</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1301 Avenue of the Americas, 5th Floor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Stifel, Nicolaus &amp; Company, Incorporated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787 7th Avenue, 11th Floor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Guggenheim Securities,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330 Madison Avenue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Neurogene Inc. – Proposed Public Offering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Sirs and Madams: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This letter agreement (“Agreement”) is being delivered to you in connection with the proposed Underwriting Agreement (the “Underwriting Agreement”) between Neurogene Inc., a Delaware corporation (the “Company”) and Leerink Partners LLC, Stifel, Nicolaus</w:t>
      </w:r>
    </w:p>
    <w:p>
      <w:pPr>
        <w:spacing w:after="0" w:line="1" w:lineRule="exact"/>
        <w:rPr>
          <w:sz w:val="20"/>
          <w:szCs w:val="20"/>
          <w:color w:val="auto"/>
        </w:rPr>
      </w:pPr>
    </w:p>
    <w:p>
      <w:pPr>
        <w:jc w:val="both"/>
        <w:ind w:firstLine="8"/>
        <w:spacing w:after="0" w:line="253" w:lineRule="auto"/>
        <w:tabs>
          <w:tab w:leader="none" w:pos="26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Incorporated and Guggenheim Securities, LLC as representatives (the “Representatives”) of a group of underwriters (collectively, the “Underwriters”), to be named therein, and the other parties thereto (if any), relating to the proposed public offering of shares of the common stock, par value $0.000001 per share (the “Common Stock”), of the Company (the “Offering”).</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undersigned recognizes that the Offering will benefit each of the Company and the undersigned. The undersigned acknowledges that the Underwriters are relying on the representations and agreements of the undersigned contained in this Agreement in conducting the Offering and other arrangements with the Company with respect to the Offering. For good and valuable consideration, the receipt and sufficiency of which are hereby acknowledged, the undersigned agrees with each Underwriter that, during the period beginning on the date hereof through and including the date that is the 60th day after the date of the Underwriting Agreement (the “Lock-Up Period”), the undersigned will not, and will not cause or direct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6001252883.2</w:t>
      </w:r>
    </w:p>
    <w:p>
      <w:pPr>
        <w:sectPr>
          <w:pgSz w:w="11900" w:h="16838" w:orient="portrait"/>
          <w:cols w:equalWidth="0" w:num="1">
            <w:col w:w="11240"/>
          </w:cols>
          <w:pgMar w:left="320" w:top="1413" w:right="339" w:bottom="1440" w:gutter="0" w:footer="0" w:header="0"/>
          <w:type w:val="continuous"/>
        </w:sectPr>
      </w:pPr>
    </w:p>
    <w:bookmarkStart w:id="44" w:name="page45"/>
    <w:bookmarkEnd w:id="44"/>
    <w:p>
      <w:pPr>
        <w:jc w:val="both"/>
        <w:spacing w:after="0" w:line="249" w:lineRule="auto"/>
        <w:rPr>
          <w:sz w:val="20"/>
          <w:szCs w:val="20"/>
          <w:color w:val="auto"/>
        </w:rPr>
      </w:pPr>
      <w:r>
        <w:rPr>
          <w:rFonts w:ascii="Times New Roman" w:cs="Times New Roman" w:eastAsia="Times New Roman" w:hAnsi="Times New Roman"/>
          <w:sz w:val="20"/>
          <w:szCs w:val="20"/>
          <w:color w:val="auto"/>
        </w:rPr>
        <w:t>any of its affiliates to, without the prior written consent of the Representatives, directly or indirectly, (i) offer, sell, assign, transfer, pledge, contract to sell, lend or otherwise dispose of, or announce the intention to otherwise dispose of, any shares of Common Stock (including, without limitation, Common Stock which may be deemed to be beneficially owned by the undersigned in accordance with the rules and regulations promulgated under the Securities Act of 1933, as amended (the “Securities Act”) as the same may be amended or supplemented from time to time (such shares, the “Beneficially Owned Shares”)) or securities convertible into or exercisable or exchangeable for Common Stock, (ii)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undersigned or someone other than the undersigned) in whole or in part, directly or indirectly, the economic risk of ownership of the Beneficially Owned Shares or securities convertible into or exercisable or exchangeable for Common Stock, whether now owned or hereafter acquired by the undersigned or with respect to which the undersigned has or hereafter acquires the power of disposition (the “Prohibited Activity”), or (iii) engage in, or announce the intention to engage in, any short selling of the Common Stock or securities convertible into or exercisable or exchangeable for Common Stock. The undersigned represents and warrants that the undersigned is not, and has not caused or directed any of its affiliates to be or become, currently a party to any agreement or arrangement that is designed to or which reasonably could be expected to lead to or result in any Prohibited Activity during the Lock-Up Period.</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the undersigned is not a natural person, the undersigned represents and warrants that no single natural person, entity or “group” (within the meaning of Section 13(d)(3) of the Securities Exchange Act of 1934, as amended, and the rules and regulations promulgated thereunder (the “Exchange Act”)), other than a natural person, entity or “group” (as described above) that has executed an Agreement in substantially the same form as this Agreement, beneficially owns, directly or indirectly, 50% or more of the common equity interests, or 50% or more of the voting power, in the undersigned.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restrictions set forth in the immediately preceding paragraph shall not apply to:</w:t>
      </w:r>
    </w:p>
    <w:p>
      <w:pPr>
        <w:spacing w:after="0" w:line="216" w:lineRule="exact"/>
        <w:rPr>
          <w:sz w:val="20"/>
          <w:szCs w:val="20"/>
          <w:color w:val="auto"/>
        </w:rPr>
      </w:pPr>
    </w:p>
    <w:p>
      <w:pPr>
        <w:jc w:val="both"/>
        <w:ind w:left="660" w:hanging="4"/>
        <w:spacing w:after="0" w:line="258" w:lineRule="auto"/>
        <w:tabs>
          <w:tab w:leader="none" w:pos="117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undersigned is a natural person, any transfers made by the undersigned (a) as a bona fide gift to any member of the immediate family (as defined below) of the undersigned or to a trust the beneficiaries of which are exclusively the undersigned or members of the undersigned’s immediate family, (b) by will or intestate succession upon the death of the undersigned or (c) as a bona fide gift to a charity or educational institution,</w:t>
      </w:r>
    </w:p>
    <w:p>
      <w:pPr>
        <w:spacing w:after="0" w:line="185" w:lineRule="exact"/>
        <w:rPr>
          <w:rFonts w:ascii="Times New Roman" w:cs="Times New Roman" w:eastAsia="Times New Roman" w:hAnsi="Times New Roman"/>
          <w:sz w:val="20"/>
          <w:szCs w:val="20"/>
          <w:color w:val="auto"/>
        </w:rPr>
      </w:pPr>
    </w:p>
    <w:p>
      <w:pPr>
        <w:jc w:val="both"/>
        <w:ind w:left="660" w:hanging="4"/>
        <w:spacing w:after="0" w:line="261" w:lineRule="auto"/>
        <w:tabs>
          <w:tab w:leader="none" w:pos="124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undersigned is a corporation, partnership, limited liability company or other business entity, any transfers to any stockholder, partner or member of, or owner of a similar equity interest in, the undersigned, as the case may be, if, in any such case, such transfer is not for value,</w:t>
      </w:r>
    </w:p>
    <w:p>
      <w:pPr>
        <w:spacing w:after="0" w:line="181" w:lineRule="exact"/>
        <w:rPr>
          <w:rFonts w:ascii="Times New Roman" w:cs="Times New Roman" w:eastAsia="Times New Roman" w:hAnsi="Times New Roman"/>
          <w:sz w:val="20"/>
          <w:szCs w:val="20"/>
          <w:color w:val="auto"/>
        </w:rPr>
      </w:pPr>
    </w:p>
    <w:p>
      <w:pPr>
        <w:jc w:val="both"/>
        <w:ind w:left="660" w:hanging="4"/>
        <w:spacing w:after="0" w:line="253" w:lineRule="auto"/>
        <w:tabs>
          <w:tab w:leader="none" w:pos="116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undersigned is a corporation, partnership, limited liability company or other business entity, any transfer made by the undersigned (a) in connection with the sale or other bona fide transfer in a single transaction of all or substantially all of the undersigned’s capital stock, partnership interests, membership interests or other similar equity interests, as the case may be, or all or substantially all of the undersigned’s assets, in any such case not undertaken for the purpose of avoiding the restrictions imposed by this Agreement or (b) to another corporation, partnership, limited liability company or other business entity so long as the transferee is an affiliate (as defined below) of the undersigned and such transfer is not for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45" w:name="page46"/>
    <w:bookmarkEnd w:id="45"/>
    <w:p>
      <w:pPr>
        <w:jc w:val="both"/>
        <w:ind w:left="660" w:hanging="4"/>
        <w:spacing w:after="0" w:line="261" w:lineRule="auto"/>
        <w:tabs>
          <w:tab w:leader="none" w:pos="113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relating to Common Stock or other securities convertible into or exercisable or exchangeable for Common Stock acquired in open market transactions after completion of the Offering; provided, that no such transaction is required to be, or is, voluntarily publicly announced (whether on Form 4, Form 5 or otherwise) during the Lock-Up Period,</w:t>
      </w:r>
    </w:p>
    <w:p>
      <w:pPr>
        <w:spacing w:after="0" w:line="181" w:lineRule="exact"/>
        <w:rPr>
          <w:rFonts w:ascii="Times New Roman" w:cs="Times New Roman" w:eastAsia="Times New Roman" w:hAnsi="Times New Roman"/>
          <w:sz w:val="20"/>
          <w:szCs w:val="20"/>
          <w:color w:val="auto"/>
        </w:rPr>
      </w:pPr>
    </w:p>
    <w:p>
      <w:pPr>
        <w:ind w:left="660" w:right="100" w:hanging="4"/>
        <w:spacing w:after="0" w:line="250" w:lineRule="auto"/>
        <w:tabs>
          <w:tab w:leader="none" w:pos="108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entry, by the undersigned, at any time on or after the date of the Underwriting Agreement, of any trading plan providing for the sale of Common Stock by the undersigned, which trading plan meets the requirements of Rule 10b5-1(c) under the Exchange Act; provided, however, that such plan does not provide for, or permit, the sale of any Common Stock during the Lock-Up Period and to the extent a public announcement or filing under the Exchange Act, if any, is required to be made regarding the establishment of such new 10b5-1 plan, such announcement or filing shall include a statement to the effect that no sale of securities may be made under such new 10b5-1 plan during the Lock-Up Period,</w:t>
      </w:r>
    </w:p>
    <w:p>
      <w:pPr>
        <w:spacing w:after="0" w:line="2" w:lineRule="exact"/>
        <w:rPr>
          <w:rFonts w:ascii="Times New Roman" w:cs="Times New Roman" w:eastAsia="Times New Roman" w:hAnsi="Times New Roman"/>
          <w:sz w:val="20"/>
          <w:szCs w:val="20"/>
          <w:color w:val="auto"/>
        </w:rPr>
      </w:pPr>
    </w:p>
    <w:p>
      <w:pPr>
        <w:ind w:left="660" w:right="20" w:hanging="4"/>
        <w:spacing w:after="0" w:line="276" w:lineRule="auto"/>
        <w:tabs>
          <w:tab w:leader="none" w:pos="108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of securities (including following the exercise of options to purchase securities) pursuant to a 10b5-1 plan adopted prior to the date hereof, provided, however, that the existence and details of such 10b5-1 plan were communicated to the Representatives prior to the date hereof and such 10b5-1 plan will not be amended or otherwise modified during the Lock-Up Period,</w:t>
      </w:r>
    </w:p>
    <w:p>
      <w:pPr>
        <w:spacing w:after="0" w:line="101" w:lineRule="exact"/>
        <w:rPr>
          <w:rFonts w:ascii="Times New Roman" w:cs="Times New Roman" w:eastAsia="Times New Roman" w:hAnsi="Times New Roman"/>
          <w:sz w:val="19"/>
          <w:szCs w:val="19"/>
          <w:color w:val="auto"/>
        </w:rPr>
      </w:pPr>
    </w:p>
    <w:p>
      <w:pPr>
        <w:ind w:left="660" w:right="20" w:hanging="4"/>
        <w:spacing w:after="0" w:line="283" w:lineRule="auto"/>
        <w:tabs>
          <w:tab w:leader="none" w:pos="113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transfers made by the undersigned to the Company to satisfy tax withholding obligations pursuant to the Company’s equity incentive plans or arrangements disclosed in the Prospectus (as defined in the Underwriting Agreement); and</w:t>
      </w:r>
    </w:p>
    <w:p>
      <w:pPr>
        <w:spacing w:after="0" w:line="3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provided, however, that in the case of any transfer described in clause (1), (2) or (3) above, it shall be a condition to the transfer that (A) the transferee executes and delivers to the Representatives, acting on behalf of the Underwriters, not later than one business day prior to such transfer, a written agreement, in substantially the form of this Agreement (it being understood that any references to “immediate family” in the agreement executed by such transferee shall expressly refer only to the immediate family of the undersigned and not to the immediate family of the transferee) and otherwise satisfactory in form and substance to the Representatives, and (B) in the case of any transfer described in clause (1), (2), (3), (6) or (7) above, no public announcement or filing is voluntarily made regarding such transfer during the Lock-Up Period and if the undersigned is required to file a report under Section 16(a) of the Exchange Act, reporting a reduction in beneficial ownership of shares of Common Stock or Beneficially Owned Shares or any securities convertible into or exercisable or exchangeable for Common Stock or Beneficially Owned Shares during the Lock-Up Period, the undersigned shall include a statement in such report to the effect that, (A) in the case of any transfer pursuant to clause (1) above, such transfer is being made as a gift or by will or intestate succession,</w:t>
      </w:r>
    </w:p>
    <w:p>
      <w:pPr>
        <w:spacing w:after="0" w:line="4" w:lineRule="exact"/>
        <w:rPr>
          <w:sz w:val="20"/>
          <w:szCs w:val="20"/>
          <w:color w:val="auto"/>
        </w:rPr>
      </w:pPr>
    </w:p>
    <w:p>
      <w:pPr>
        <w:jc w:val="both"/>
        <w:ind w:firstLine="8"/>
        <w:spacing w:after="0" w:line="248" w:lineRule="auto"/>
        <w:tabs>
          <w:tab w:leader="none" w:pos="31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transfer pursuant to clause (2) above, such transfer is being made to a stockholder, partner or member of, or owner of a similar equity interest in, the undersigned and is not a transfer for value, (C) in the case of any transfer pursuant to clause (3) above, such transfer is being made either (a) in connection with the sale or other bona fide transfer in a single transaction of all or substantially all of the undersigned’s capital stock, partnership interests, membership interests or other similar equity interests, as the case may be, or all or substantially all of the undersigned’s assets or (b) to another corporation, partnership, limited liability company or other business entity that is an affiliate of the undersigned and such transfer is not for value, (D) in the case of any transfer pursuant to clause (6) above, such sale is being made pursuant to a 10b5-1 plan and (E) in the case of any transfer pursuant to clause (7) above, such transfer is being made to satisfy tax withholding obligations. For purposes of this paragraph, “immediate family” shall mean a spouse, child, grandchild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46" w:name="page47"/>
    <w:bookmarkEnd w:id="46"/>
    <w:p>
      <w:pPr>
        <w:spacing w:after="0" w:line="283" w:lineRule="auto"/>
        <w:rPr>
          <w:sz w:val="20"/>
          <w:szCs w:val="20"/>
          <w:color w:val="auto"/>
        </w:rPr>
      </w:pPr>
      <w:r>
        <w:rPr>
          <w:rFonts w:ascii="Times New Roman" w:cs="Times New Roman" w:eastAsia="Times New Roman" w:hAnsi="Times New Roman"/>
          <w:sz w:val="20"/>
          <w:szCs w:val="20"/>
          <w:color w:val="auto"/>
        </w:rPr>
        <w:t>other lineal descendant (including by adoption), father, mother, brother or sister of the undersigned; and “affiliate” shall have the meaning set forth in Rule 405 under the Securities Act.</w:t>
      </w:r>
    </w:p>
    <w:p>
      <w:pPr>
        <w:spacing w:after="0" w:line="146"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0"/>
          <w:szCs w:val="20"/>
          <w:color w:val="auto"/>
        </w:rPr>
        <w:t>For avoidance of doubt, nothing in this Agreement prohibits the undersigned from exercising any options or warrants to purchase Common Stock (which exercises may be effected on a cashless basis to the extent the instruments representing such options or warrants permit exercises on a cashless basis), it being understood that any Common Stock issued upon such exercises will be subject to the restrictions of this Agreement and provided, however, that no public announcement or filing is voluntarily made regarding such exercise during the Lock-Up Period and provided that if the undersigned is required to file a report under Section 16(a) of the Exchange Act reporting a reduction in beneficial ownership of such options or warrants during the Lock-Up Period, the undersigned shall include a statement in such report to the effect that the disposition relates to the exercise of an option or warrant, as applicable, and that the shares of Common Stock received upon exercise are subject to the restrictions of this Agreement.</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order to enable this covenant to be enforced, the undersigned hereby consents to the placing of legends or stop transfer instructions with the Company’s transfer agent with respect to any Common Stock or securities convertible into or exercisable or exchangeable for Common Stock.</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further agrees that it will not, during the Lock-Up Period, make any demand or request for or exercise any right with respect to the registration under the Securities Act, of any shares of Common Stock or other Beneficially Owned Shares or any securities convertible into or exercisable or exchangeable for Common Stock or other Beneficially Owned Shares.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undersigned hereby represents and warrants that the undersigned has full power and authority to enter into this Agreement and that this Agreement has been duly authorized (if the undersigned is not a natural person), executed and delivered by the undersigned and is a valid and binding agreement of the undersigned. This Agreement and all authority herein conferred are irrevocable and shall survive the death or incapacity of the undersigned (if a natural person) and shall be binding upon the heirs, personal representatives, successors and assigns of the undersigned.</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undersigned acknowledges and agrees that the Underwriters have not provided any recommendation or investment advice nor have the Underwriters solicited any action from the undersigned with respect to the Offering of Common Stock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Agreement and nothing set forth in such disclosures is intended to suggest that the Representatives or any Underwriter is making such a recommendation.</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undersigned further acknowledges and agrees that any Underwriter may assign its respective rights and obligations under this Agreement to any other affiliated registered 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47" w:name="page48"/>
    <w:bookmarkEnd w:id="47"/>
    <w:p>
      <w:pPr>
        <w:ind w:right="160"/>
        <w:spacing w:after="0" w:line="258"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internal laws of the State of New York applicable to agreements made and to be performed in such state.</w:t>
      </w:r>
    </w:p>
    <w:p>
      <w:pPr>
        <w:ind w:right="280"/>
        <w:spacing w:after="0" w:line="246" w:lineRule="auto"/>
        <w:rPr>
          <w:sz w:val="20"/>
          <w:szCs w:val="20"/>
          <w:color w:val="auto"/>
        </w:rPr>
      </w:pPr>
      <w:r>
        <w:rPr>
          <w:rFonts w:ascii="Times New Roman" w:cs="Times New Roman" w:eastAsia="Times New Roman" w:hAnsi="Times New Roman"/>
          <w:sz w:val="20"/>
          <w:szCs w:val="20"/>
          <w:color w:val="auto"/>
        </w:rPr>
        <w:t>This Agreement may be delivered via facsimile, electronic mail (including pdf or any electronic signature complying with the U.S. federal ESIGN Act of 2000, e.g., www.docusign.com or www.echosign.com) or other transmission method and any copy so delivered shall be deemed to have been duly and validly delivered and be valid and effective for all purposes.</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(i) the Company notifies the Representatives in writing that it does not intend to proceed with the Offering, (ii) the Underwriting Agreement is not executed by July 31, 2026, or (iii) the Underwriting Agreement (other than the provisions thereof which survive termination) shall terminate or be terminated for any reason prior to payment for and delivery of any Common Stock to be sold thereunder, then this Agreement shall immediately be terminated and the undersigned shall automatically be released from all of his, her or its obligations under this Agreement. The undersigned acknowledges and agrees that whether or not any public offering of Common Stock actually occurs depends on a number of factors, including market conditions.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48" w:name="page49"/>
    <w:bookmarkEnd w:id="48"/>
    <w:p>
      <w:pPr>
        <w:ind w:left="39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 Please Print)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59"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20"/>
          <w:szCs w:val="20"/>
          <w:color w:val="auto"/>
        </w:rPr>
        <w:t>(Name of Signatory if an entity - Please Print)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of Signatory if an entity - Please Print)</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39"/>
          </w:cols>
          <w:pgMar w:left="320" w:top="1426" w:right="1440" w:bottom="1440" w:gutter="0" w:footer="0" w:header="0"/>
        </w:sectPr>
      </w:pPr>
    </w:p>
    <w:bookmarkStart w:id="49" w:name="page50"/>
    <w:bookmarkEnd w:id="49"/>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PRE-FUNDED WARRANT TO PURCHASE COMMON STOCK</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Number of Shares: [] (subject to adjustment)</w:t>
      </w:r>
    </w:p>
    <w:p>
      <w:pPr>
        <w:spacing w:after="0" w:line="20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Warrant No. []</w:t>
      </w:r>
      <w:r>
        <w:rPr>
          <w:sz w:val="20"/>
          <w:szCs w:val="20"/>
          <w:color w:val="auto"/>
        </w:rPr>
        <w:tab/>
      </w:r>
      <w:r>
        <w:rPr>
          <w:rFonts w:ascii="Times New Roman" w:cs="Times New Roman" w:eastAsia="Times New Roman" w:hAnsi="Times New Roman"/>
          <w:sz w:val="21"/>
          <w:szCs w:val="21"/>
          <w:color w:val="auto"/>
        </w:rPr>
        <w:t>Original Issue Date: July 2, 2026</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b w:val="1"/>
          <w:bCs w:val="1"/>
          <w:color w:val="auto"/>
        </w:rPr>
        <w:t xml:space="preserve">Neurogene Inc., </w:t>
      </w:r>
      <w:r>
        <w:rPr>
          <w:rFonts w:ascii="Times New Roman" w:cs="Times New Roman" w:eastAsia="Times New Roman" w:hAnsi="Times New Roman"/>
          <w:sz w:val="22"/>
          <w:szCs w:val="22"/>
          <w:color w:val="auto"/>
        </w:rPr>
        <w:t>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certifies that, for good and valuable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and sufficiency of which are hereby acknowledged, [] or its registered assigns (the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is entitled, subject to the terms set forth below, to purchase from the Company up to a total of [] shares of common stock, $0.000001 par value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of the Company (each such share, a “</w:t>
      </w:r>
      <w:r>
        <w:rPr>
          <w:rFonts w:ascii="Times New Roman" w:cs="Times New Roman" w:eastAsia="Times New Roman" w:hAnsi="Times New Roman"/>
          <w:sz w:val="22"/>
          <w:szCs w:val="22"/>
          <w:b w:val="1"/>
          <w:bCs w:val="1"/>
          <w:color w:val="auto"/>
        </w:rPr>
        <w:t>Warrant Share</w:t>
      </w:r>
      <w:r>
        <w:rPr>
          <w:rFonts w:ascii="Times New Roman" w:cs="Times New Roman" w:eastAsia="Times New Roman" w:hAnsi="Times New Roman"/>
          <w:sz w:val="22"/>
          <w:szCs w:val="22"/>
          <w:color w:val="auto"/>
        </w:rPr>
        <w:t>” and all such shares, the “</w:t>
      </w:r>
      <w:r>
        <w:rPr>
          <w:rFonts w:ascii="Times New Roman" w:cs="Times New Roman" w:eastAsia="Times New Roman" w:hAnsi="Times New Roman"/>
          <w:sz w:val="22"/>
          <w:szCs w:val="22"/>
          <w:b w:val="1"/>
          <w:bCs w:val="1"/>
          <w:color w:val="auto"/>
        </w:rPr>
        <w:t>Warrant Shares</w:t>
      </w:r>
      <w:r>
        <w:rPr>
          <w:rFonts w:ascii="Times New Roman" w:cs="Times New Roman" w:eastAsia="Times New Roman" w:hAnsi="Times New Roman"/>
          <w:sz w:val="22"/>
          <w:szCs w:val="22"/>
          <w:color w:val="auto"/>
        </w:rPr>
        <w:t>”) at an exercise price per share equal to $0.000001 (the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xml:space="preserve">”), in each case as adjusted from time to time as provided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at any time and from time to time on or after the date hereof (the “</w:t>
      </w:r>
      <w:r>
        <w:rPr>
          <w:rFonts w:ascii="Times New Roman" w:cs="Times New Roman" w:eastAsia="Times New Roman" w:hAnsi="Times New Roman"/>
          <w:sz w:val="22"/>
          <w:szCs w:val="22"/>
          <w:b w:val="1"/>
          <w:bCs w:val="1"/>
          <w:color w:val="auto"/>
        </w:rPr>
        <w:t>Original Issue Date</w:t>
      </w:r>
      <w:r>
        <w:rPr>
          <w:rFonts w:ascii="Times New Roman" w:cs="Times New Roman" w:eastAsia="Times New Roman" w:hAnsi="Times New Roman"/>
          <w:sz w:val="22"/>
          <w:szCs w:val="22"/>
          <w:color w:val="auto"/>
        </w:rPr>
        <w:t>”), subject to the following terms and conditions:</w:t>
      </w:r>
    </w:p>
    <w:p>
      <w:pPr>
        <w:spacing w:after="0" w:line="190" w:lineRule="exact"/>
        <w:rPr>
          <w:sz w:val="20"/>
          <w:szCs w:val="20"/>
          <w:color w:val="auto"/>
        </w:rPr>
      </w:pPr>
    </w:p>
    <w:p>
      <w:pPr>
        <w:ind w:right="3580" w:firstLine="656"/>
        <w:spacing w:after="0" w:line="262" w:lineRule="auto"/>
        <w:tabs>
          <w:tab w:leader="none" w:pos="102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For purposes of this Warrant, the following terms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meanings:</w:t>
      </w:r>
    </w:p>
    <w:p>
      <w:pPr>
        <w:spacing w:after="0" w:line="19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any other Person that, directly or indirectly through one or more intermediaries, controls, is controlled by or is under common control with such Person.</w:t>
      </w:r>
    </w:p>
    <w:p>
      <w:pPr>
        <w:spacing w:after="0" w:line="1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Attribution Parties</w:t>
      </w:r>
      <w:r>
        <w:rPr>
          <w:rFonts w:ascii="Times New Roman" w:cs="Times New Roman" w:eastAsia="Times New Roman" w:hAnsi="Times New Roman"/>
          <w:sz w:val="22"/>
          <w:szCs w:val="22"/>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8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Sale Price</w:t>
      </w:r>
      <w:r>
        <w:rPr>
          <w:rFonts w:ascii="Times New Roman" w:cs="Times New Roman" w:eastAsia="Times New Roman" w:hAnsi="Times New Roman"/>
          <w:sz w:val="22"/>
          <w:szCs w:val="22"/>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U.S. Securities and Exchange Commission.</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and all of the rules and regulations promulgated thereunder.</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 shall have the meaning ascribed to it in Section 13(d) of the Exchange Act, and all related rules, regulations and jurisprudence.</w:t>
      </w:r>
    </w:p>
    <w:p>
      <w:pPr>
        <w:spacing w:after="0" w:line="16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means the Company’s registration statement on Form S-3 (File No. 333-286057), which was filed on March 24, 2025 and became effective on April 4, 2025.</w:t>
      </w:r>
    </w:p>
    <w:p>
      <w:pPr>
        <w:spacing w:after="0" w:line="15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Trading Market</w:t>
      </w:r>
      <w:r>
        <w:rPr>
          <w:rFonts w:ascii="Times New Roman" w:cs="Times New Roman" w:eastAsia="Times New Roman" w:hAnsi="Times New Roman"/>
          <w:sz w:val="22"/>
          <w:szCs w:val="22"/>
          <w:color w:val="auto"/>
        </w:rPr>
        <w:t>” means the national securities exchange or other trading market on which the Common Stock is primarily listed on and quoted for trading, which, as of the Original Issue Date, shall be The Nasdaq Global Market.</w:t>
      </w:r>
    </w:p>
    <w:p>
      <w:pPr>
        <w:spacing w:after="0" w:line="136" w:lineRule="exact"/>
        <w:rPr>
          <w:sz w:val="20"/>
          <w:szCs w:val="20"/>
          <w:color w:val="auto"/>
        </w:rPr>
      </w:pPr>
    </w:p>
    <w:p>
      <w:pPr>
        <w:ind w:left="660" w:right="40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and all of the rules and regulations promulgated thereunder.</w:t>
      </w:r>
    </w:p>
    <w:p>
      <w:pPr>
        <w:spacing w:after="0" w:line="13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any weekday on which the Principal Trading Market is normally open for trading.</w:t>
      </w:r>
    </w:p>
    <w:p>
      <w:pPr>
        <w:spacing w:after="0" w:line="206"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means Broadridge Corporate Issuer Solutions, Inc., the Company’s transfer agent and registrar for the Common Stock, and any successor appointed in such capacity.</w:t>
      </w:r>
    </w:p>
    <w:p>
      <w:pPr>
        <w:spacing w:after="0" w:line="136" w:lineRule="exact"/>
        <w:rPr>
          <w:sz w:val="20"/>
          <w:szCs w:val="20"/>
          <w:color w:val="auto"/>
        </w:rPr>
      </w:pPr>
    </w:p>
    <w:p>
      <w:pPr>
        <w:jc w:val="both"/>
        <w:ind w:firstLine="872"/>
        <w:spacing w:after="0" w:line="242" w:lineRule="auto"/>
        <w:tabs>
          <w:tab w:leader="none" w:pos="1242"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Issuance of Securities; Registration of Warrants</w:t>
      </w:r>
      <w:r>
        <w:rPr>
          <w:rFonts w:ascii="Times New Roman" w:cs="Times New Roman" w:eastAsia="Times New Roman" w:hAnsi="Times New Roman"/>
          <w:sz w:val="22"/>
          <w:szCs w:val="22"/>
          <w:color w:val="auto"/>
        </w:rPr>
        <w:t>. The Warrant, as initially issued by the Company, is offered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sold pursuant to the Registration Statement. As of the Issue Date, the Warrant Shares are issuable under the Registration Statement. Accordingly, the Warrant and, assuming issuance pursuant to the Registration Statement or an exchange meeting the requirements of Section 3(a)(9) of the Exchange Act as in effect on the Issue Date, the Warrant Shares are not “restricted securities” under Rule 144 promulgated under the Securities Act. The Company shall register ownership of this Warrant, upon records to be maintained by</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Company for that purpose (the “</w:t>
      </w:r>
      <w:r>
        <w:rPr>
          <w:rFonts w:ascii="Times New Roman" w:cs="Times New Roman" w:eastAsia="Times New Roman" w:hAnsi="Times New Roman"/>
          <w:sz w:val="22"/>
          <w:szCs w:val="22"/>
          <w:b w:val="1"/>
          <w:bCs w:val="1"/>
          <w:color w:val="auto"/>
        </w:rPr>
        <w:t>Warrant Register</w:t>
      </w:r>
      <w:r>
        <w:rPr>
          <w:rFonts w:ascii="Times New Roman" w:cs="Times New Roman" w:eastAsia="Times New Roman" w:hAnsi="Times New Roman"/>
          <w:sz w:val="22"/>
          <w:szCs w:val="22"/>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69" w:lineRule="exact"/>
        <w:rPr>
          <w:sz w:val="20"/>
          <w:szCs w:val="20"/>
          <w:color w:val="auto"/>
        </w:rPr>
      </w:pPr>
    </w:p>
    <w:p>
      <w:pPr>
        <w:jc w:val="both"/>
        <w:ind w:firstLine="737"/>
        <w:spacing w:after="0" w:line="250" w:lineRule="auto"/>
        <w:tabs>
          <w:tab w:leader="none" w:pos="1255"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Registration of Transfers</w:t>
      </w:r>
      <w:r>
        <w:rPr>
          <w:rFonts w:ascii="Times New Roman" w:cs="Times New Roman" w:eastAsia="Times New Roman" w:hAnsi="Times New Roman"/>
          <w:sz w:val="21"/>
          <w:szCs w:val="21"/>
          <w:color w:val="auto"/>
        </w:rPr>
        <w:t>. This Warrant and all rights hereunder (including, without limitation, any registration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21"/>
          <w:szCs w:val="21"/>
          <w:b w:val="1"/>
          <w:bCs w:val="1"/>
          <w:color w:val="auto"/>
        </w:rPr>
        <w:t>New Warrant</w:t>
      </w:r>
      <w:r>
        <w:rPr>
          <w:rFonts w:ascii="Times New Roman" w:cs="Times New Roman" w:eastAsia="Times New Roman" w:hAnsi="Times New Roman"/>
          <w:sz w:val="21"/>
          <w:szCs w:val="21"/>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Until due presentment for registration of transfer, the Company may treat the registered Holder hereof as the owner and holder for all purposes, and the Company shall not be affected by any notice to the contrary.</w:t>
      </w:r>
    </w:p>
    <w:p>
      <w:pPr>
        <w:spacing w:after="0" w:line="177" w:lineRule="exact"/>
        <w:rPr>
          <w:rFonts w:ascii="Times New Roman" w:cs="Times New Roman" w:eastAsia="Times New Roman" w:hAnsi="Times New Roman"/>
          <w:sz w:val="21"/>
          <w:szCs w:val="21"/>
          <w:b w:val="1"/>
          <w:bCs w:val="1"/>
          <w:color w:val="auto"/>
        </w:rPr>
      </w:pPr>
    </w:p>
    <w:p>
      <w:pPr>
        <w:ind w:left="1260" w:hanging="388"/>
        <w:spacing w:after="0"/>
        <w:tabs>
          <w:tab w:leader="none" w:pos="1260"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Exercise of Warrants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1"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at any time and from time to time on or after the Original Issue Date, and such rights shall not expire until exercised in full.</w:t>
      </w:r>
    </w:p>
    <w:p>
      <w:pPr>
        <w:spacing w:after="0" w:line="18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Holder may exercise this Warrant by delivering to the Company (i) an exercise notice, in the form attached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color w:val="auto"/>
        </w:rPr>
        <w:t>Exercise Notice</w:t>
      </w:r>
      <w:r>
        <w:rPr>
          <w:rFonts w:ascii="Times New Roman" w:cs="Times New Roman" w:eastAsia="Times New Roman" w:hAnsi="Times New Roman"/>
          <w:sz w:val="22"/>
          <w:szCs w:val="22"/>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22"/>
          <w:szCs w:val="22"/>
          <w:b w:val="1"/>
          <w:bCs w:val="1"/>
          <w:color w:val="auto"/>
        </w:rPr>
        <w:t>“Exercise Date</w:t>
      </w:r>
      <w:r>
        <w:rPr>
          <w:rFonts w:ascii="Times New Roman" w:cs="Times New Roman" w:eastAsia="Times New Roman" w:hAnsi="Times New Roman"/>
          <w:sz w:val="22"/>
          <w:szCs w:val="22"/>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93" w:lineRule="exact"/>
        <w:rPr>
          <w:rFonts w:ascii="Times New Roman" w:cs="Times New Roman" w:eastAsia="Times New Roman" w:hAnsi="Times New Roman"/>
          <w:sz w:val="22"/>
          <w:szCs w:val="22"/>
          <w:color w:val="auto"/>
        </w:rPr>
      </w:pPr>
    </w:p>
    <w:p>
      <w:pPr>
        <w:ind w:firstLine="1304"/>
        <w:spacing w:after="0" w:line="258" w:lineRule="auto"/>
        <w:tabs>
          <w:tab w:leader="none" w:pos="1941"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and any assignee, by acceptance of this Warrant, acknowledge and agree that, by reason of the provisions of this section, following the purchase of a portion of</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Warrant Shares hereunder, the number of Warrant Shares available for purchase hereunder at any given time may be less than the amount stated on the face hereof.</w:t>
      </w:r>
    </w:p>
    <w:p>
      <w:pPr>
        <w:spacing w:after="0" w:line="168" w:lineRule="exact"/>
        <w:rPr>
          <w:sz w:val="20"/>
          <w:szCs w:val="20"/>
          <w:color w:val="auto"/>
        </w:rPr>
      </w:pPr>
    </w:p>
    <w:p>
      <w:pPr>
        <w:ind w:left="1260" w:hanging="388"/>
        <w:spacing w:after="0"/>
        <w:tabs>
          <w:tab w:leader="none" w:pos="1260"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Delivery of Warrant Shares</w:t>
      </w:r>
      <w:r>
        <w:rPr>
          <w:rFonts w:ascii="Times New Roman" w:cs="Times New Roman" w:eastAsia="Times New Roman" w:hAnsi="Times New Roman"/>
          <w:sz w:val="22"/>
          <w:szCs w:val="22"/>
          <w:color w:val="auto"/>
        </w:rPr>
        <w:t>.</w:t>
      </w:r>
    </w:p>
    <w:p>
      <w:pPr>
        <w:spacing w:after="0" w:line="318"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941"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21"/>
          <w:szCs w:val="21"/>
          <w:b w:val="1"/>
          <w:bCs w:val="1"/>
          <w:color w:val="auto"/>
        </w:rPr>
        <w:t>Exercise Shares</w:t>
      </w:r>
      <w:r>
        <w:rPr>
          <w:rFonts w:ascii="Times New Roman" w:cs="Times New Roman" w:eastAsia="Times New Roman" w:hAnsi="Times New Roman"/>
          <w:sz w:val="21"/>
          <w:szCs w:val="21"/>
          <w:color w:val="auto"/>
        </w:rPr>
        <w:t>”) to (i) the Holder’s or its designee’s balance account with The Depository Trust Company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through its Deposit Withdrawal At Custodian system or (ii) in book-entry form via a direct registration system (“</w:t>
      </w:r>
      <w:r>
        <w:rPr>
          <w:rFonts w:ascii="Times New Roman" w:cs="Times New Roman" w:eastAsia="Times New Roman" w:hAnsi="Times New Roman"/>
          <w:sz w:val="21"/>
          <w:szCs w:val="21"/>
          <w:b w:val="1"/>
          <w:bCs w:val="1"/>
          <w:color w:val="auto"/>
        </w:rPr>
        <w:t>DRS</w:t>
      </w:r>
      <w:r>
        <w:rPr>
          <w:rFonts w:ascii="Times New Roman" w:cs="Times New Roman" w:eastAsia="Times New Roman" w:hAnsi="Times New Roman"/>
          <w:sz w:val="21"/>
          <w:szCs w:val="21"/>
          <w:color w:val="auto"/>
        </w:rPr>
        <w:t>”) maintained by or on behalf of the Transfer Agent, in each case, so long as either</w:t>
      </w:r>
    </w:p>
    <w:p>
      <w:pPr>
        <w:spacing w:after="0" w:line="5"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an effective registration statement permitting the issuance of the Warrant Shares to or the resale of such Warrant</w:t>
      </w:r>
    </w:p>
    <w:p>
      <w:pPr>
        <w:spacing w:after="0" w:line="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Shares by the Holder or (B) the Exercise Shares are eligible for resale by the Holder without volume or manner-of-sale restrictions pursuant to Rule 144 promulgated under the Securities Act (assuming cashless exercise of this Warrant). If (A) and</w:t>
      </w:r>
    </w:p>
    <w:p>
      <w:pPr>
        <w:spacing w:after="0" w:line="2" w:lineRule="exact"/>
        <w:rPr>
          <w:sz w:val="20"/>
          <w:szCs w:val="20"/>
          <w:color w:val="auto"/>
        </w:rPr>
      </w:pPr>
    </w:p>
    <w:p>
      <w:pPr>
        <w:jc w:val="both"/>
        <w:ind w:firstLine="8"/>
        <w:spacing w:after="0" w:line="235" w:lineRule="auto"/>
        <w:tabs>
          <w:tab w:leader="none" w:pos="3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4"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any other rights available to the Holder, if the Company fails to cause the Transfer Agent to deliver to the Holder or its designee Exercise Shares in the manner required pursuant to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22"/>
          <w:szCs w:val="22"/>
          <w:b w:val="1"/>
          <w:bCs w:val="1"/>
          <w:color w:val="auto"/>
        </w:rPr>
        <w:t>Buy-In</w:t>
      </w:r>
      <w:r>
        <w:rPr>
          <w:rFonts w:ascii="Times New Roman" w:cs="Times New Roman" w:eastAsia="Times New Roman" w:hAnsi="Times New Roman"/>
          <w:sz w:val="22"/>
          <w:szCs w:val="22"/>
          <w:color w:val="auto"/>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85" w:lineRule="exact"/>
        <w:rPr>
          <w:sz w:val="20"/>
          <w:szCs w:val="20"/>
          <w:color w:val="auto"/>
        </w:rPr>
      </w:pPr>
    </w:p>
    <w:p>
      <w:pPr>
        <w:jc w:val="both"/>
        <w:ind w:left="-656" w:firstLine="1304"/>
        <w:spacing w:after="0" w:line="237" w:lineRule="auto"/>
        <w:tabs>
          <w:tab w:leader="none" w:pos="128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permitted by law and subject to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90" w:lineRule="exact"/>
        <w:rPr>
          <w:rFonts w:ascii="Times New Roman" w:cs="Times New Roman" w:eastAsia="Times New Roman" w:hAnsi="Times New Roman"/>
          <w:sz w:val="22"/>
          <w:szCs w:val="22"/>
          <w:color w:val="auto"/>
        </w:rPr>
      </w:pPr>
    </w:p>
    <w:p>
      <w:pPr>
        <w:jc w:val="both"/>
        <w:ind w:left="-656" w:firstLine="656"/>
        <w:spacing w:after="0"/>
        <w:tabs>
          <w:tab w:leader="none" w:pos="6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Charges, Taxes and Expenses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Issuance and delivery of Exercise Shares shall be made without charge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6" w:lineRule="exact"/>
        <w:rPr>
          <w:rFonts w:ascii="Times New Roman" w:cs="Times New Roman" w:eastAsia="Times New Roman" w:hAnsi="Times New Roman"/>
          <w:sz w:val="22"/>
          <w:szCs w:val="22"/>
          <w:b w:val="1"/>
          <w:bCs w:val="1"/>
          <w:color w:val="auto"/>
        </w:rPr>
      </w:pPr>
    </w:p>
    <w:p>
      <w:pPr>
        <w:jc w:val="both"/>
        <w:ind w:left="-656" w:firstLine="656"/>
        <w:spacing w:after="0" w:line="242" w:lineRule="auto"/>
        <w:tabs>
          <w:tab w:leader="none" w:pos="6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Replacement of Warrant</w:t>
      </w:r>
      <w:r>
        <w:rPr>
          <w:rFonts w:ascii="Times New Roman" w:cs="Times New Roman" w:eastAsia="Times New Roman" w:hAnsi="Times New Roman"/>
          <w:sz w:val="22"/>
          <w:szCs w:val="22"/>
          <w:color w:val="auto"/>
        </w:rPr>
        <w:t>. If this Warrant is mutilated, lost, stolen or destroyed, the Company shall issue 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83" w:lineRule="exact"/>
        <w:rPr>
          <w:rFonts w:ascii="Times New Roman" w:cs="Times New Roman" w:eastAsia="Times New Roman" w:hAnsi="Times New Roman"/>
          <w:sz w:val="22"/>
          <w:szCs w:val="22"/>
          <w:b w:val="1"/>
          <w:bCs w:val="1"/>
          <w:color w:val="auto"/>
        </w:rPr>
      </w:pPr>
    </w:p>
    <w:p>
      <w:pPr>
        <w:jc w:val="both"/>
        <w:ind w:left="-656" w:firstLine="656"/>
        <w:spacing w:after="0" w:line="238" w:lineRule="auto"/>
        <w:tabs>
          <w:tab w:leader="none" w:pos="6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Reservation of Warrant Shares</w:t>
      </w:r>
      <w:r>
        <w:rPr>
          <w:rFonts w:ascii="Times New Roman" w:cs="Times New Roman" w:eastAsia="Times New Roman" w:hAnsi="Times New Roman"/>
          <w:sz w:val="22"/>
          <w:szCs w:val="22"/>
          <w:color w:val="auto"/>
        </w:rPr>
        <w:t>. The Company covenants that it will, at all times while this Warrant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w:t>
      </w:r>
    </w:p>
    <w:p>
      <w:pPr>
        <w:sectPr>
          <w:pgSz w:w="11900" w:h="16838" w:orient="portrait"/>
          <w:cols w:equalWidth="0" w:num="1">
            <w:col w:w="10584"/>
          </w:cols>
          <w:pgMar w:left="976" w:top="1440" w:right="339" w:bottom="1440" w:gutter="0" w:footer="0" w:header="0"/>
        </w:sectPr>
      </w:pPr>
    </w:p>
    <w:bookmarkStart w:id="54" w:name="page55"/>
    <w:bookmarkEnd w:id="54"/>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69" w:lineRule="exact"/>
        <w:rPr>
          <w:sz w:val="20"/>
          <w:szCs w:val="20"/>
          <w:color w:val="auto"/>
        </w:rPr>
      </w:pPr>
    </w:p>
    <w:p>
      <w:pPr>
        <w:ind w:firstLine="656"/>
        <w:spacing w:after="0" w:line="262"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Adjustments</w:t>
      </w:r>
      <w:r>
        <w:rPr>
          <w:rFonts w:ascii="Times New Roman" w:cs="Times New Roman" w:eastAsia="Times New Roman" w:hAnsi="Times New Roman"/>
          <w:sz w:val="22"/>
          <w:szCs w:val="22"/>
          <w:color w:val="auto"/>
        </w:rPr>
        <w:t>. The Exercise Price and number of Warrant Shares issuable upon exercise of this Warrant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Number of Warrant Shares</w:t>
      </w:r>
      <w:r>
        <w:rPr>
          <w:rFonts w:ascii="Times New Roman" w:cs="Times New Roman" w:eastAsia="Times New Roman" w:hAnsi="Times New Roman"/>
          <w:sz w:val="22"/>
          <w:szCs w:val="22"/>
          <w:color w:val="auto"/>
        </w:rPr>
        <w:t xml:space="preserve">”) are subject to adjustment from time to time as set forth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b w:val="1"/>
          <w:bCs w:val="1"/>
          <w:color w:val="auto"/>
        </w:rPr>
      </w:pPr>
    </w:p>
    <w:p>
      <w:pPr>
        <w:jc w:val="both"/>
        <w:ind w:left="80" w:firstLine="1289"/>
        <w:spacing w:after="0" w:line="237" w:lineRule="auto"/>
        <w:tabs>
          <w:tab w:leader="none" w:pos="195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208" w:lineRule="exact"/>
        <w:rPr>
          <w:rFonts w:ascii="Times New Roman" w:cs="Times New Roman" w:eastAsia="Times New Roman" w:hAnsi="Times New Roman"/>
          <w:sz w:val="22"/>
          <w:szCs w:val="22"/>
          <w:color w:val="auto"/>
        </w:rPr>
      </w:pPr>
    </w:p>
    <w:p>
      <w:pPr>
        <w:jc w:val="both"/>
        <w:ind w:left="80" w:firstLine="1289"/>
        <w:spacing w:after="0" w:line="237" w:lineRule="auto"/>
        <w:tabs>
          <w:tab w:leader="none" w:pos="195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Distributions</w:t>
      </w:r>
      <w:r>
        <w:rPr>
          <w:rFonts w:ascii="Times New Roman" w:cs="Times New Roman" w:eastAsia="Times New Roman" w:hAnsi="Times New Roman"/>
          <w:sz w:val="22"/>
          <w:szCs w:val="22"/>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any distribution of Purchase Rights (as defined below) subject to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and any Fundamental Transaction (as defined below) subject to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-968375</wp:posOffset>
            </wp:positionV>
            <wp:extent cx="431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of shares of Common Stock are to be determined for the participation in such Distribution;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4" w:lineRule="exact"/>
        <w:rPr>
          <w:sz w:val="20"/>
          <w:szCs w:val="20"/>
          <w:color w:val="auto"/>
        </w:rPr>
      </w:pPr>
    </w:p>
    <w:p>
      <w:pPr>
        <w:jc w:val="both"/>
        <w:ind w:firstLine="1224"/>
        <w:spacing w:after="0" w:line="237" w:lineRule="auto"/>
        <w:tabs>
          <w:tab w:leader="none" w:pos="187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22"/>
          <w:szCs w:val="22"/>
          <w:b w:val="1"/>
          <w:bCs w:val="1"/>
          <w:color w:val="auto"/>
        </w:rPr>
        <w:t>Purchase Rights</w:t>
      </w:r>
      <w:r>
        <w:rPr>
          <w:rFonts w:ascii="Times New Roman" w:cs="Times New Roman" w:eastAsia="Times New Roman" w:hAnsi="Times New Roman"/>
          <w:sz w:val="22"/>
          <w:szCs w:val="22"/>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80" w:lineRule="exact"/>
        <w:rPr>
          <w:rFonts w:ascii="Times New Roman" w:cs="Times New Roman" w:eastAsia="Times New Roman" w:hAnsi="Times New Roman"/>
          <w:sz w:val="22"/>
          <w:szCs w:val="22"/>
          <w:color w:val="auto"/>
        </w:rPr>
      </w:pPr>
    </w:p>
    <w:p>
      <w:pPr>
        <w:jc w:val="both"/>
        <w:ind w:firstLine="1224"/>
        <w:spacing w:after="0" w:line="250" w:lineRule="auto"/>
        <w:tabs>
          <w:tab w:leader="none" w:pos="187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Transactions</w:t>
      </w:r>
      <w:r>
        <w:rPr>
          <w:rFonts w:ascii="Times New Roman" w:cs="Times New Roman" w:eastAsia="Times New Roman" w:hAnsi="Times New Roman"/>
          <w:sz w:val="22"/>
          <w:szCs w:val="22"/>
          <w:color w:val="auto"/>
        </w:rPr>
        <w:t>. If, at any time while this Warrant is outstanding (i) the Company effects any merger or consolidation of the Company with or into another Person, in which the Company is not the surviving entity or in which the stockholders of</w:t>
      </w:r>
    </w:p>
    <w:p>
      <w:pPr>
        <w:sectPr>
          <w:pgSz w:w="11900" w:h="16838" w:orient="portrait"/>
          <w:cols w:equalWidth="0" w:num="1">
            <w:col w:w="11160"/>
          </w:cols>
          <w:pgMar w:left="400" w:top="1440" w:right="339" w:bottom="1440" w:gutter="0" w:footer="0" w:header="0"/>
        </w:sectPr>
      </w:pPr>
    </w:p>
    <w:bookmarkStart w:id="56" w:name="page57"/>
    <w:bookmarkEnd w:id="56"/>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21"/>
          <w:szCs w:val="21"/>
          <w:u w:val="single" w:color="auto"/>
          <w:color w:val="auto"/>
        </w:rPr>
        <w:t>Section 9(a)</w:t>
      </w:r>
      <w:r>
        <w:rPr>
          <w:rFonts w:ascii="Times New Roman" w:cs="Times New Roman" w:eastAsia="Times New Roman" w:hAnsi="Times New Roman"/>
          <w:sz w:val="21"/>
          <w:szCs w:val="21"/>
          <w:color w:val="auto"/>
        </w:rPr>
        <w:t xml:space="preserve"> above) (in any such case, a “</w:t>
      </w:r>
      <w:r>
        <w:rPr>
          <w:rFonts w:ascii="Times New Roman" w:cs="Times New Roman" w:eastAsia="Times New Roman" w:hAnsi="Times New Roman"/>
          <w:sz w:val="21"/>
          <w:szCs w:val="21"/>
          <w:b w:val="1"/>
          <w:bCs w:val="1"/>
          <w:color w:val="auto"/>
        </w:rPr>
        <w:t>Fundamental Transaction</w:t>
      </w:r>
      <w:r>
        <w:rPr>
          <w:rFonts w:ascii="Times New Roman" w:cs="Times New Roman" w:eastAsia="Times New Roman" w:hAnsi="Times New Roman"/>
          <w:sz w:val="21"/>
          <w:szCs w:val="21"/>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21"/>
          <w:szCs w:val="21"/>
          <w:u w:val="single" w:color="auto"/>
          <w:color w:val="auto"/>
        </w:rPr>
        <w:t>Sections 9(b)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9(c)</w:t>
      </w:r>
      <w:r>
        <w:rPr>
          <w:rFonts w:ascii="Times New Roman" w:cs="Times New Roman" w:eastAsia="Times New Roman" w:hAnsi="Times New Roman"/>
          <w:sz w:val="21"/>
          <w:szCs w:val="21"/>
          <w:color w:val="auto"/>
        </w:rPr>
        <w:t xml:space="preserve"> above) without regard to any limitations on exercise contained herein (the “</w:t>
      </w:r>
      <w:r>
        <w:rPr>
          <w:rFonts w:ascii="Times New Roman" w:cs="Times New Roman" w:eastAsia="Times New Roman" w:hAnsi="Times New Roman"/>
          <w:sz w:val="21"/>
          <w:szCs w:val="21"/>
          <w:b w:val="1"/>
          <w:bCs w:val="1"/>
          <w:color w:val="auto"/>
        </w:rPr>
        <w:t>Alternate Consideration</w:t>
      </w:r>
      <w:r>
        <w:rPr>
          <w:rFonts w:ascii="Times New Roman" w:cs="Times New Roman" w:eastAsia="Times New Roman" w:hAnsi="Times New Roman"/>
          <w:sz w:val="21"/>
          <w:szCs w:val="21"/>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200" w:lineRule="exact"/>
        <w:rPr>
          <w:sz w:val="20"/>
          <w:szCs w:val="20"/>
          <w:color w:val="auto"/>
        </w:rPr>
      </w:pPr>
    </w:p>
    <w:p>
      <w:pPr>
        <w:spacing w:after="0" w:line="237" w:lineRule="exact"/>
        <w:rPr>
          <w:sz w:val="20"/>
          <w:szCs w:val="20"/>
          <w:color w:val="auto"/>
        </w:rPr>
      </w:pPr>
    </w:p>
    <w:p>
      <w:pPr>
        <w:jc w:val="both"/>
        <w:ind w:firstLine="1224"/>
        <w:spacing w:after="0"/>
        <w:tabs>
          <w:tab w:leader="none" w:pos="187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Warrant Shares</w:t>
      </w:r>
      <w:r>
        <w:rPr>
          <w:rFonts w:ascii="Times New Roman" w:cs="Times New Roman" w:eastAsia="Times New Roman" w:hAnsi="Times New Roman"/>
          <w:sz w:val="22"/>
          <w:szCs w:val="22"/>
          <w:color w:val="auto"/>
        </w:rPr>
        <w:t xml:space="preserve">. Simultaneously with any adjustment to the Number of Warrant Shares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93" w:lineRule="exact"/>
        <w:rPr>
          <w:rFonts w:ascii="Times New Roman" w:cs="Times New Roman" w:eastAsia="Times New Roman" w:hAnsi="Times New Roman"/>
          <w:sz w:val="22"/>
          <w:szCs w:val="22"/>
          <w:color w:val="auto"/>
        </w:rPr>
      </w:pPr>
    </w:p>
    <w:p>
      <w:pPr>
        <w:ind w:firstLine="1224"/>
        <w:spacing w:after="0" w:line="258" w:lineRule="auto"/>
        <w:tabs>
          <w:tab w:leader="none" w:pos="187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xml:space="preserve">. All calculations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be made to the nearest one-tenth of one cent or the nearest share, as applicable.</w:t>
      </w:r>
    </w:p>
    <w:p>
      <w:pPr>
        <w:sectPr>
          <w:pgSz w:w="11900" w:h="16838" w:orient="portrait"/>
          <w:cols w:equalWidth="0" w:num="1">
            <w:col w:w="11160"/>
          </w:cols>
          <w:pgMar w:left="400" w:top="1440" w:right="339" w:bottom="1440" w:gutter="0" w:footer="0" w:header="0"/>
        </w:sectPr>
      </w:pPr>
    </w:p>
    <w:bookmarkStart w:id="57" w:name="page58"/>
    <w:bookmarkEnd w:id="57"/>
    <w:p>
      <w:pPr>
        <w:spacing w:after="0" w:line="185" w:lineRule="exact"/>
        <w:rPr>
          <w:sz w:val="20"/>
          <w:szCs w:val="20"/>
          <w:color w:val="auto"/>
        </w:rPr>
      </w:pPr>
    </w:p>
    <w:p>
      <w:pPr>
        <w:jc w:val="both"/>
        <w:ind w:left="80" w:firstLine="1224"/>
        <w:spacing w:after="0" w:line="239" w:lineRule="auto"/>
        <w:tabs>
          <w:tab w:leader="none" w:pos="195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Adjustments</w:t>
      </w:r>
      <w:r>
        <w:rPr>
          <w:rFonts w:ascii="Times New Roman" w:cs="Times New Roman" w:eastAsia="Times New Roman" w:hAnsi="Times New Roman"/>
          <w:sz w:val="22"/>
          <w:szCs w:val="22"/>
          <w:color w:val="auto"/>
        </w:rPr>
        <w:t xml:space="preserve">. Upon the occurrence of each adjustment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94" w:lineRule="exact"/>
        <w:rPr>
          <w:rFonts w:ascii="Times New Roman" w:cs="Times New Roman" w:eastAsia="Times New Roman" w:hAnsi="Times New Roman"/>
          <w:sz w:val="22"/>
          <w:szCs w:val="22"/>
          <w:color w:val="auto"/>
        </w:rPr>
      </w:pPr>
    </w:p>
    <w:p>
      <w:pPr>
        <w:jc w:val="both"/>
        <w:ind w:left="80" w:firstLine="1224"/>
        <w:spacing w:after="0" w:line="249" w:lineRule="auto"/>
        <w:tabs>
          <w:tab w:leader="none" w:pos="195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Corporate Events</w:t>
      </w:r>
      <w:r>
        <w:rPr>
          <w:rFonts w:ascii="Times New Roman" w:cs="Times New Roman" w:eastAsia="Times New Roman" w:hAnsi="Times New Roman"/>
          <w:sz w:val="21"/>
          <w:szCs w:val="21"/>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other than a Fundamental Transaction under clause (iii) of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cs="Times New Roman" w:eastAsia="Times New Roman" w:hAnsi="Times New Roman"/>
          <w:sz w:val="21"/>
          <w:szCs w:val="21"/>
          <w:u w:val="single" w:color="auto"/>
          <w:color w:val="auto"/>
        </w:rPr>
        <w:t>Section 9(h)</w:t>
      </w:r>
      <w:r>
        <w:rPr>
          <w:rFonts w:ascii="Times New Roman" w:cs="Times New Roman" w:eastAsia="Times New Roman" w:hAnsi="Times New Roman"/>
          <w:sz w:val="21"/>
          <w:szCs w:val="21"/>
          <w:color w:val="auto"/>
        </w:rPr>
        <w:t xml:space="preserve"> in confidence until such information is publicly available, and shall comply with applicable law with respect to trading in the Company’s securities following receipt of any such information.</w:t>
      </w:r>
    </w:p>
    <w:p>
      <w:pPr>
        <w:spacing w:after="0" w:line="173" w:lineRule="exact"/>
        <w:rPr>
          <w:rFonts w:ascii="Times New Roman" w:cs="Times New Roman" w:eastAsia="Times New Roman" w:hAnsi="Times New Roman"/>
          <w:sz w:val="21"/>
          <w:szCs w:val="21"/>
          <w:color w:val="auto"/>
        </w:rPr>
      </w:pPr>
    </w:p>
    <w:p>
      <w:pPr>
        <w:ind w:left="1420" w:hanging="483"/>
        <w:spacing w:after="0"/>
        <w:tabs>
          <w:tab w:leader="none" w:pos="14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Payment of Exercise Price</w:t>
      </w:r>
      <w:r>
        <w:rPr>
          <w:rFonts w:ascii="Times New Roman" w:cs="Times New Roman" w:eastAsia="Times New Roman" w:hAnsi="Times New Roman"/>
          <w:sz w:val="22"/>
          <w:szCs w:val="22"/>
          <w:color w:val="auto"/>
        </w:rPr>
        <w:t>. Notwithstanding anything contained herein to the</w:t>
      </w:r>
    </w:p>
    <w:p>
      <w:pPr>
        <w:spacing w:after="0" w:line="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8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X = Y [(A-B)/A]</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where:</w:t>
      </w:r>
    </w:p>
    <w:p>
      <w:pPr>
        <w:spacing w:after="0" w:line="328" w:lineRule="exact"/>
        <w:rPr>
          <w:sz w:val="20"/>
          <w:szCs w:val="20"/>
          <w:color w:val="auto"/>
        </w:rPr>
      </w:pPr>
    </w:p>
    <w:p>
      <w:pPr>
        <w:ind w:left="1360"/>
        <w:spacing w:after="0"/>
        <w:tabs>
          <w:tab w:leader="none" w:pos="1920" w:val="left"/>
        </w:tabs>
        <w:rPr>
          <w:sz w:val="20"/>
          <w:szCs w:val="20"/>
          <w:color w:val="auto"/>
        </w:rPr>
      </w:pPr>
      <w:r>
        <w:rPr>
          <w:rFonts w:ascii="Times New Roman" w:cs="Times New Roman" w:eastAsia="Times New Roman" w:hAnsi="Times New Roman"/>
          <w:sz w:val="22"/>
          <w:szCs w:val="22"/>
          <w:color w:val="auto"/>
        </w:rPr>
        <w:t>“X”</w:t>
        <w:tab/>
        <w:t>equals the number of Warrant Shares to be issued to the Holder;</w:t>
      </w:r>
    </w:p>
    <w:p>
      <w:pPr>
        <w:spacing w:after="0" w:line="206" w:lineRule="exact"/>
        <w:rPr>
          <w:sz w:val="20"/>
          <w:szCs w:val="20"/>
          <w:color w:val="auto"/>
        </w:rPr>
      </w:pPr>
    </w:p>
    <w:p>
      <w:pPr>
        <w:ind w:left="1360"/>
        <w:spacing w:after="0"/>
        <w:tabs>
          <w:tab w:leader="none" w:pos="1920" w:val="left"/>
        </w:tabs>
        <w:rPr>
          <w:sz w:val="20"/>
          <w:szCs w:val="20"/>
          <w:color w:val="auto"/>
        </w:rPr>
      </w:pPr>
      <w:r>
        <w:rPr>
          <w:rFonts w:ascii="Times New Roman" w:cs="Times New Roman" w:eastAsia="Times New Roman" w:hAnsi="Times New Roman"/>
          <w:sz w:val="22"/>
          <w:szCs w:val="22"/>
          <w:color w:val="auto"/>
        </w:rPr>
        <w:t>“Y”</w:t>
        <w:tab/>
        <w:t>equals the total number of Warrant Shares with respect to which this Warrant is then being exercised;</w:t>
      </w:r>
    </w:p>
    <w:p>
      <w:pPr>
        <w:spacing w:after="0" w:line="220" w:lineRule="exact"/>
        <w:rPr>
          <w:sz w:val="20"/>
          <w:szCs w:val="20"/>
          <w:color w:val="auto"/>
        </w:rPr>
      </w:pPr>
    </w:p>
    <w:p>
      <w:pPr>
        <w:ind w:left="720" w:firstLine="648"/>
        <w:spacing w:after="0" w:line="258" w:lineRule="auto"/>
        <w:rPr>
          <w:sz w:val="20"/>
          <w:szCs w:val="20"/>
          <w:color w:val="auto"/>
        </w:rPr>
      </w:pPr>
      <w:r>
        <w:rPr>
          <w:rFonts w:ascii="Times New Roman" w:cs="Times New Roman" w:eastAsia="Times New Roman" w:hAnsi="Times New Roman"/>
          <w:sz w:val="22"/>
          <w:szCs w:val="22"/>
          <w:color w:val="auto"/>
        </w:rPr>
        <w:t>“A” equals the Closing Sale Price of the shares of Common Stock (as reported by Bloomberg Financial Markets) as of the Trading Day on the date immediately preceding the Exercise Date; and</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85" w:lineRule="exact"/>
        <w:rPr>
          <w:sz w:val="20"/>
          <w:szCs w:val="20"/>
          <w:color w:val="auto"/>
        </w:rPr>
      </w:pPr>
    </w:p>
    <w:p>
      <w:pPr>
        <w:ind w:left="1360"/>
        <w:spacing w:after="0"/>
        <w:tabs>
          <w:tab w:leader="none" w:pos="1920" w:val="left"/>
        </w:tabs>
        <w:rPr>
          <w:sz w:val="20"/>
          <w:szCs w:val="20"/>
          <w:color w:val="auto"/>
        </w:rPr>
      </w:pPr>
      <w:r>
        <w:rPr>
          <w:rFonts w:ascii="Times New Roman" w:cs="Times New Roman" w:eastAsia="Times New Roman" w:hAnsi="Times New Roman"/>
          <w:sz w:val="22"/>
          <w:szCs w:val="22"/>
          <w:color w:val="auto"/>
        </w:rPr>
        <w:t>“B”</w:t>
        <w:tab/>
        <w:t>equals the Exercise Price then in effect for the applicable Warrant Shares at the time of such exercise.</w:t>
      </w:r>
    </w:p>
    <w:p>
      <w:pPr>
        <w:spacing w:after="0" w:line="2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(Buy-in Remedy) and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(No Fractional Shares), in no event will the exercise of this Warrant be settled in cash.</w:t>
      </w:r>
    </w:p>
    <w:p>
      <w:pPr>
        <w:spacing w:after="0" w:line="187" w:lineRule="exact"/>
        <w:rPr>
          <w:sz w:val="20"/>
          <w:szCs w:val="20"/>
          <w:color w:val="auto"/>
        </w:rPr>
      </w:pPr>
    </w:p>
    <w:p>
      <w:pPr>
        <w:ind w:left="1420" w:hanging="483"/>
        <w:spacing w:after="0"/>
        <w:tabs>
          <w:tab w:leader="none" w:pos="14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Limitations on Exercise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369"/>
        <w:spacing w:after="0" w:line="248" w:lineRule="auto"/>
        <w:tabs>
          <w:tab w:leader="none" w:pos="183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[9.99]% (the “</w:t>
      </w:r>
      <w:r>
        <w:rPr>
          <w:rFonts w:ascii="Times New Roman" w:cs="Times New Roman" w:eastAsia="Times New Roman" w:hAnsi="Times New Roman"/>
          <w:sz w:val="21"/>
          <w:szCs w:val="21"/>
          <w:b w:val="1"/>
          <w:bCs w:val="1"/>
          <w:color w:val="auto"/>
        </w:rPr>
        <w:t>Maximum Percentage</w:t>
      </w:r>
      <w:r>
        <w:rPr>
          <w:rFonts w:ascii="Times New Roman" w:cs="Times New Roman" w:eastAsia="Times New Roman" w:hAnsi="Times New Roman"/>
          <w:sz w:val="21"/>
          <w:szCs w:val="21"/>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21"/>
          <w:szCs w:val="21"/>
          <w:u w:val="single" w:color="auto"/>
          <w:color w:val="auto"/>
        </w:rPr>
        <w:t>Paragraph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11(a)</w:t>
      </w:r>
      <w:r>
        <w:rPr>
          <w:rFonts w:ascii="Times New Roman" w:cs="Times New Roman" w:eastAsia="Times New Roman" w:hAnsi="Times New Roman"/>
          <w:sz w:val="21"/>
          <w:szCs w:val="21"/>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Company’s transfer agent setting forth the number of shares of Common Stock outstanding (such issued and outstanding shares, the “</w:t>
      </w:r>
      <w:r>
        <w:rPr>
          <w:rFonts w:ascii="Times New Roman" w:cs="Times New Roman" w:eastAsia="Times New Roman" w:hAnsi="Times New Roman"/>
          <w:sz w:val="21"/>
          <w:szCs w:val="21"/>
          <w:b w:val="1"/>
          <w:bCs w:val="1"/>
          <w:color w:val="auto"/>
        </w:rPr>
        <w:t>Reported Outstanding Share Number</w:t>
      </w:r>
      <w:r>
        <w:rPr>
          <w:rFonts w:ascii="Times New Roman" w:cs="Times New Roman" w:eastAsia="Times New Roman" w:hAnsi="Times New Roman"/>
          <w:sz w:val="21"/>
          <w:szCs w:val="21"/>
          <w:color w:val="auto"/>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21"/>
          <w:szCs w:val="21"/>
          <w:u w:val="single" w:color="auto"/>
          <w:color w:val="auto"/>
        </w:rPr>
        <w:t>Section 11(a)</w:t>
      </w:r>
      <w:r>
        <w:rPr>
          <w:rFonts w:ascii="Times New Roman" w:cs="Times New Roman" w:eastAsia="Times New Roman" w:hAnsi="Times New Roman"/>
          <w:sz w:val="21"/>
          <w:szCs w:val="21"/>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21"/>
          <w:szCs w:val="21"/>
          <w:b w:val="1"/>
          <w:bCs w:val="1"/>
          <w:color w:val="auto"/>
        </w:rPr>
        <w:t>Reduction Shares</w:t>
      </w:r>
      <w:r>
        <w:rPr>
          <w:rFonts w:ascii="Times New Roman" w:cs="Times New Roman" w:eastAsia="Times New Roman" w:hAnsi="Times New Roman"/>
          <w:sz w:val="21"/>
          <w:szCs w:val="21"/>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21"/>
          <w:szCs w:val="21"/>
          <w:b w:val="1"/>
          <w:bCs w:val="1"/>
          <w:color w:val="auto"/>
        </w:rPr>
        <w:t>Excess Shares</w:t>
      </w:r>
      <w:r>
        <w:rPr>
          <w:rFonts w:ascii="Times New Roman" w:cs="Times New Roman" w:eastAsia="Times New Roman" w:hAnsi="Times New Roman"/>
          <w:sz w:val="21"/>
          <w:szCs w:val="21"/>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w:t>
      </w:r>
    </w:p>
    <w:p>
      <w:pPr>
        <w:spacing w:after="0" w:line="200" w:lineRule="exact"/>
        <w:rPr>
          <w:sz w:val="20"/>
          <w:szCs w:val="20"/>
          <w:color w:val="auto"/>
        </w:rPr>
      </w:pPr>
    </w:p>
    <w:p>
      <w:pPr>
        <w:spacing w:after="0" w:line="251" w:lineRule="exact"/>
        <w:rPr>
          <w:sz w:val="20"/>
          <w:szCs w:val="20"/>
          <w:color w:val="auto"/>
        </w:rPr>
      </w:pPr>
    </w:p>
    <w:p>
      <w:pPr>
        <w:jc w:val="both"/>
        <w:ind w:firstLine="1304"/>
        <w:spacing w:after="0" w:line="238" w:lineRule="auto"/>
        <w:tabs>
          <w:tab w:leader="none" w:pos="179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73" w:lineRule="exact"/>
        <w:rPr>
          <w:sz w:val="20"/>
          <w:szCs w:val="20"/>
          <w:color w:val="auto"/>
        </w:rPr>
      </w:pPr>
    </w:p>
    <w:p>
      <w:pPr>
        <w:jc w:val="both"/>
        <w:ind w:firstLine="721"/>
        <w:spacing w:after="0" w:line="245" w:lineRule="auto"/>
        <w:tabs>
          <w:tab w:leader="none" w:pos="1293"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Fractional Shares</w:t>
      </w:r>
      <w:r>
        <w:rPr>
          <w:rFonts w:ascii="Times New Roman" w:cs="Times New Roman" w:eastAsia="Times New Roman" w:hAnsi="Times New Roman"/>
          <w:sz w:val="22"/>
          <w:szCs w:val="22"/>
          <w:color w:val="auto"/>
        </w:rPr>
        <w:t>. No fractional Warrant Shares will be issued in connection with any exercise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82" w:lineRule="exact"/>
        <w:rPr>
          <w:rFonts w:ascii="Times New Roman" w:cs="Times New Roman" w:eastAsia="Times New Roman" w:hAnsi="Times New Roman"/>
          <w:sz w:val="22"/>
          <w:szCs w:val="22"/>
          <w:b w:val="1"/>
          <w:bCs w:val="1"/>
          <w:color w:val="auto"/>
        </w:rPr>
      </w:pPr>
    </w:p>
    <w:p>
      <w:pPr>
        <w:jc w:val="both"/>
        <w:ind w:firstLine="721"/>
        <w:spacing w:after="0" w:line="253" w:lineRule="auto"/>
        <w:tabs>
          <w:tab w:leader="none" w:pos="1293"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and all notices or other communications or deliveries hereunder (including, without limitation,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64" w:lineRule="exact"/>
        <w:rPr>
          <w:rFonts w:ascii="Times New Roman" w:cs="Times New Roman" w:eastAsia="Times New Roman" w:hAnsi="Times New Roman"/>
          <w:sz w:val="21"/>
          <w:szCs w:val="21"/>
          <w:b w:val="1"/>
          <w:bCs w:val="1"/>
          <w:color w:val="auto"/>
        </w:rPr>
      </w:pPr>
    </w:p>
    <w:p>
      <w:pPr>
        <w:jc w:val="both"/>
        <w:ind w:left="80" w:firstLine="641"/>
        <w:spacing w:after="0" w:line="242" w:lineRule="auto"/>
        <w:tabs>
          <w:tab w:leader="none" w:pos="1308"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Warrant Agent</w:t>
      </w:r>
      <w:r>
        <w:rPr>
          <w:rFonts w:ascii="Times New Roman" w:cs="Times New Roman" w:eastAsia="Times New Roman" w:hAnsi="Times New Roman"/>
          <w:sz w:val="22"/>
          <w:szCs w:val="22"/>
          <w:color w:val="auto"/>
        </w:rPr>
        <w:t>. The Company shall initially serve as warrant agent under this Warrant. Upon 30 days’ notice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71" w:lineRule="exact"/>
        <w:rPr>
          <w:rFonts w:ascii="Times New Roman" w:cs="Times New Roman" w:eastAsia="Times New Roman" w:hAnsi="Times New Roman"/>
          <w:sz w:val="22"/>
          <w:szCs w:val="22"/>
          <w:b w:val="1"/>
          <w:bCs w:val="1"/>
          <w:color w:val="auto"/>
        </w:rPr>
      </w:pPr>
    </w:p>
    <w:p>
      <w:pPr>
        <w:ind w:left="1300" w:hanging="579"/>
        <w:spacing w:after="0"/>
        <w:tabs>
          <w:tab w:leader="none" w:pos="130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80" w:firstLine="1289"/>
        <w:spacing w:after="0" w:line="241" w:lineRule="auto"/>
        <w:tabs>
          <w:tab w:leader="none" w:pos="195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Stockholder</w:t>
      </w:r>
      <w:r>
        <w:rPr>
          <w:rFonts w:ascii="Times New Roman" w:cs="Times New Roman" w:eastAsia="Times New Roman" w:hAnsi="Times New Roman"/>
          <w:sz w:val="22"/>
          <w:szCs w:val="22"/>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73" w:lineRule="exact"/>
        <w:rPr>
          <w:sz w:val="20"/>
          <w:szCs w:val="20"/>
          <w:color w:val="auto"/>
        </w:rPr>
      </w:pPr>
    </w:p>
    <w:p>
      <w:pPr>
        <w:jc w:val="both"/>
        <w:ind w:left="60" w:firstLine="1229"/>
        <w:spacing w:after="0" w:line="237" w:lineRule="auto"/>
        <w:tabs>
          <w:tab w:leader="none" w:pos="186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8" w:lineRule="exact"/>
        <w:rPr>
          <w:rFonts w:ascii="Times New Roman" w:cs="Times New Roman" w:eastAsia="Times New Roman" w:hAnsi="Times New Roman"/>
          <w:sz w:val="22"/>
          <w:szCs w:val="22"/>
          <w:color w:val="auto"/>
        </w:rPr>
      </w:pPr>
    </w:p>
    <w:p>
      <w:pPr>
        <w:jc w:val="both"/>
        <w:ind w:firstLine="1289"/>
        <w:spacing w:after="0" w:line="243" w:lineRule="auto"/>
        <w:tabs>
          <w:tab w:leader="none" w:pos="187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77" w:lineRule="exact"/>
        <w:rPr>
          <w:rFonts w:ascii="Times New Roman" w:cs="Times New Roman" w:eastAsia="Times New Roman" w:hAnsi="Times New Roman"/>
          <w:sz w:val="22"/>
          <w:szCs w:val="22"/>
          <w:color w:val="auto"/>
        </w:rPr>
      </w:pPr>
    </w:p>
    <w:p>
      <w:pPr>
        <w:jc w:val="both"/>
        <w:ind w:firstLine="1289"/>
        <w:spacing w:after="0" w:line="244" w:lineRule="auto"/>
        <w:tabs>
          <w:tab w:leader="none" w:pos="187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72" w:lineRule="exact"/>
        <w:rPr>
          <w:rFonts w:ascii="Times New Roman" w:cs="Times New Roman" w:eastAsia="Times New Roman" w:hAnsi="Times New Roman"/>
          <w:sz w:val="22"/>
          <w:szCs w:val="22"/>
          <w:color w:val="auto"/>
        </w:rPr>
      </w:pPr>
    </w:p>
    <w:p>
      <w:pPr>
        <w:ind w:firstLine="1289"/>
        <w:spacing w:after="0" w:line="271" w:lineRule="auto"/>
        <w:tabs>
          <w:tab w:leader="none" w:pos="187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Receipt of this Warrant by the Holder shall constitute acceptance of and agreement to all of the terms and conditions contained herein.</w:t>
      </w:r>
    </w:p>
    <w:p>
      <w:pPr>
        <w:spacing w:after="0" w:line="130" w:lineRule="exact"/>
        <w:rPr>
          <w:rFonts w:ascii="Times New Roman" w:cs="Times New Roman" w:eastAsia="Times New Roman" w:hAnsi="Times New Roman"/>
          <w:sz w:val="22"/>
          <w:szCs w:val="22"/>
          <w:color w:val="auto"/>
        </w:rPr>
      </w:pPr>
    </w:p>
    <w:p>
      <w:pPr>
        <w:jc w:val="both"/>
        <w:ind w:firstLine="1289"/>
        <w:spacing w:after="0" w:line="250" w:lineRule="auto"/>
        <w:tabs>
          <w:tab w:leader="none" w:pos="187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ALL QUESTIONS CONCERNING THE CONSTRUCTION, VALIDITY, ENFORCEMENT AND INTERPRETATION OF THIS WARRANT SHALL BE GOVERNED BY AND CONSTRUED AND ENFORCED IN</w:t>
      </w:r>
    </w:p>
    <w:p>
      <w:pPr>
        <w:sectPr>
          <w:pgSz w:w="11900" w:h="16838" w:orient="portrait"/>
          <w:cols w:equalWidth="0" w:num="1">
            <w:col w:w="11160"/>
          </w:cols>
          <w:pgMar w:left="400" w:top="1440" w:right="339" w:bottom="1440" w:gutter="0" w:footer="0" w:header="0"/>
        </w:sectPr>
      </w:pPr>
    </w:p>
    <w:bookmarkStart w:id="62" w:name="page63"/>
    <w:bookmarkEnd w:id="62"/>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85" w:lineRule="exact"/>
        <w:rPr>
          <w:sz w:val="20"/>
          <w:szCs w:val="20"/>
          <w:color w:val="auto"/>
        </w:rPr>
      </w:pPr>
    </w:p>
    <w:p>
      <w:pPr>
        <w:ind w:firstLine="1289"/>
        <w:spacing w:after="0" w:line="258" w:lineRule="auto"/>
        <w:tabs>
          <w:tab w:leader="none" w:pos="187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herein are for convenience only, do not constitute a part of this Warrant and shall not be deemed to limit or affect any of the provisions hereof.</w:t>
      </w:r>
    </w:p>
    <w:p>
      <w:pPr>
        <w:spacing w:after="0" w:line="171" w:lineRule="exact"/>
        <w:rPr>
          <w:rFonts w:ascii="Times New Roman" w:cs="Times New Roman" w:eastAsia="Times New Roman" w:hAnsi="Times New Roman"/>
          <w:sz w:val="22"/>
          <w:szCs w:val="22"/>
          <w:color w:val="auto"/>
        </w:rPr>
      </w:pPr>
    </w:p>
    <w:p>
      <w:pPr>
        <w:jc w:val="both"/>
        <w:ind w:right="200" w:firstLine="1305"/>
        <w:spacing w:after="0" w:line="244" w:lineRule="auto"/>
        <w:tabs>
          <w:tab w:leader="none" w:pos="160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2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ectPr>
          <w:pgSz w:w="11900" w:h="16838" w:orient="portrait"/>
          <w:cols w:equalWidth="0" w:num="1">
            <w:col w:w="11160"/>
          </w:cols>
          <w:pgMar w:left="400" w:top="1440" w:right="339" w:bottom="1440" w:gutter="0" w:footer="0" w:header="0"/>
        </w:sectPr>
      </w:pPr>
    </w:p>
    <w:bookmarkStart w:id="63" w:name="page64"/>
    <w:bookmarkEnd w:id="63"/>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duly executed by its authorized officer as of the date first indicated above.</w:t>
      </w:r>
    </w:p>
    <w:p>
      <w:pPr>
        <w:spacing w:after="0" w:line="3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NEUROGENE INC.</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-72390</wp:posOffset>
            </wp:positionV>
            <wp:extent cx="2468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20"/>
          </w:cols>
          <w:pgMar w:left="320" w:top="1422" w:right="359" w:bottom="1440" w:gutter="0" w:footer="0" w:header="0"/>
        </w:sectPr>
      </w:pPr>
    </w:p>
    <w:bookmarkStart w:id="64" w:name="page65"/>
    <w:bookmarkEnd w:id="6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40" w:firstLine="8"/>
        <w:spacing w:after="0" w:line="282"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“Warrant”) issued by Neurogene Inc., a Delaware corporation (the “Company”). Capitalized terms used herein and not otherwise defined herein have the respective meanings set forth in the Warrant.</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 Warrant Shares pursuant to the Warrant.</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319" w:lineRule="exact"/>
        <w:rPr>
          <w:rFonts w:ascii="Times New Roman" w:cs="Times New Roman" w:eastAsia="Times New Roman" w:hAnsi="Times New Roman"/>
          <w:sz w:val="18"/>
          <w:szCs w:val="18"/>
          <w:color w:val="auto"/>
        </w:rPr>
      </w:pPr>
    </w:p>
    <w:p>
      <w:pPr>
        <w:ind w:left="900" w:hanging="442"/>
        <w:spacing w:after="0"/>
        <w:tabs>
          <w:tab w:leader="none" w:pos="900" w:val="left"/>
        </w:tabs>
        <w:numPr>
          <w:ilvl w:val="1"/>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52" w:lineRule="exact"/>
        <w:rPr>
          <w:rFonts w:ascii="MS PGothic" w:cs="MS PGothic" w:eastAsia="MS PGothic" w:hAnsi="MS PGothic"/>
          <w:sz w:val="18"/>
          <w:szCs w:val="18"/>
          <w:color w:val="auto"/>
        </w:rPr>
      </w:pPr>
    </w:p>
    <w:p>
      <w:pPr>
        <w:ind w:left="900" w:hanging="442"/>
        <w:spacing w:after="0"/>
        <w:tabs>
          <w:tab w:leader="none" w:pos="900" w:val="left"/>
        </w:tabs>
        <w:numPr>
          <w:ilvl w:val="1"/>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“Cashless Exercise”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Warrant</w:t>
      </w:r>
    </w:p>
    <w:p>
      <w:pPr>
        <w:spacing w:after="0" w:line="319" w:lineRule="exact"/>
        <w:rPr>
          <w:rFonts w:ascii="MS PGothic" w:cs="MS PGothic" w:eastAsia="MS PGothic" w:hAnsi="MS PGothic"/>
          <w:sz w:val="18"/>
          <w:szCs w:val="18"/>
          <w:color w:val="auto"/>
        </w:rPr>
      </w:pPr>
    </w:p>
    <w:p>
      <w:pPr>
        <w:ind w:right="160" w:firstLine="8"/>
        <w:spacing w:after="0" w:line="282"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_____ in immediately available funds to the Company in accordance with the terms of the Warrant.</w:t>
      </w:r>
    </w:p>
    <w:p>
      <w:pPr>
        <w:spacing w:after="0" w:line="53" w:lineRule="exact"/>
        <w:rPr>
          <w:rFonts w:ascii="Times New Roman" w:cs="Times New Roman" w:eastAsia="Times New Roman" w:hAnsi="Times New Roman"/>
          <w:sz w:val="18"/>
          <w:szCs w:val="18"/>
          <w:color w:val="auto"/>
        </w:rPr>
      </w:pPr>
    </w:p>
    <w:p>
      <w:pPr>
        <w:ind w:right="120" w:firstLine="8"/>
        <w:spacing w:after="0" w:line="282"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(check one):</w:t>
      </w:r>
    </w:p>
    <w:p>
      <w:pPr>
        <w:spacing w:after="0" w:line="256" w:lineRule="exact"/>
        <w:rPr>
          <w:rFonts w:ascii="Times New Roman" w:cs="Times New Roman" w:eastAsia="Times New Roman" w:hAnsi="Times New Roman"/>
          <w:sz w:val="18"/>
          <w:szCs w:val="18"/>
          <w:color w:val="auto"/>
        </w:rPr>
      </w:pPr>
    </w:p>
    <w:p>
      <w:pPr>
        <w:ind w:left="900" w:hanging="442"/>
        <w:spacing w:after="0"/>
        <w:tabs>
          <w:tab w:leader="none" w:pos="900" w:val="left"/>
        </w:tabs>
        <w:numPr>
          <w:ilvl w:val="1"/>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the following DWAC Account Number: _______________________________</w:t>
      </w:r>
    </w:p>
    <w:p>
      <w:pPr>
        <w:spacing w:after="0" w:line="252" w:lineRule="exact"/>
        <w:rPr>
          <w:rFonts w:ascii="MS PGothic" w:cs="MS PGothic" w:eastAsia="MS PGothic" w:hAnsi="MS PGothic"/>
          <w:sz w:val="18"/>
          <w:szCs w:val="18"/>
          <w:color w:val="auto"/>
        </w:rPr>
      </w:pPr>
    </w:p>
    <w:p>
      <w:pPr>
        <w:ind w:left="900" w:hanging="442"/>
        <w:spacing w:after="0"/>
        <w:tabs>
          <w:tab w:leader="none" w:pos="900" w:val="left"/>
        </w:tabs>
        <w:numPr>
          <w:ilvl w:val="1"/>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book-entry form via a direct registration system</w:t>
      </w:r>
    </w:p>
    <w:p>
      <w:pPr>
        <w:spacing w:after="0" w:line="265" w:lineRule="exact"/>
        <w:rPr>
          <w:rFonts w:ascii="MS PGothic" w:cs="MS PGothic" w:eastAsia="MS PGothic" w:hAnsi="MS PGothic"/>
          <w:sz w:val="18"/>
          <w:szCs w:val="18"/>
          <w:color w:val="auto"/>
        </w:rPr>
      </w:pPr>
    </w:p>
    <w:p>
      <w:pPr>
        <w:ind w:left="900" w:hanging="442"/>
        <w:spacing w:after="0"/>
        <w:tabs>
          <w:tab w:leader="none" w:pos="900" w:val="left"/>
        </w:tabs>
        <w:numPr>
          <w:ilvl w:val="1"/>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physical delivery of a certificate to: ______________________________________________________</w:t>
      </w:r>
    </w:p>
    <w:p>
      <w:pPr>
        <w:spacing w:after="0" w:line="117" w:lineRule="exact"/>
        <w:rPr>
          <w:rFonts w:ascii="MS PGothic" w:cs="MS PGothic" w:eastAsia="MS PGothic" w:hAnsi="MS PGothic"/>
          <w:sz w:val="18"/>
          <w:szCs w:val="18"/>
          <w:color w:val="auto"/>
        </w:rPr>
      </w:pPr>
    </w:p>
    <w:p>
      <w:pPr>
        <w:ind w:left="6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_______________________________________________________</w:t>
      </w:r>
    </w:p>
    <w:p>
      <w:pPr>
        <w:spacing w:after="0" w:line="184" w:lineRule="exact"/>
        <w:rPr>
          <w:rFonts w:ascii="MS PGothic" w:cs="MS PGothic" w:eastAsia="MS PGothic" w:hAnsi="MS PGothic"/>
          <w:sz w:val="18"/>
          <w:szCs w:val="18"/>
          <w:color w:val="auto"/>
        </w:rPr>
      </w:pPr>
    </w:p>
    <w:p>
      <w:pPr>
        <w:ind w:left="900" w:hanging="442"/>
        <w:spacing w:after="0"/>
        <w:tabs>
          <w:tab w:leader="none" w:pos="900" w:val="left"/>
        </w:tabs>
        <w:numPr>
          <w:ilvl w:val="1"/>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restricted book-entry form in the Company’s share register</w:t>
      </w:r>
    </w:p>
    <w:p>
      <w:pPr>
        <w:spacing w:after="0" w:line="319" w:lineRule="exact"/>
        <w:rPr>
          <w:rFonts w:ascii="MS PGothic" w:cs="MS PGothic" w:eastAsia="MS PGothic" w:hAnsi="MS PGothic"/>
          <w:sz w:val="18"/>
          <w:szCs w:val="18"/>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154305</wp:posOffset>
            </wp:positionV>
            <wp:extent cx="1825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102870</wp:posOffset>
            </wp:positionV>
            <wp:extent cx="18256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154305</wp:posOffset>
            </wp:positionV>
            <wp:extent cx="1036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154305</wp:posOffset>
            </wp:positionV>
            <wp:extent cx="10369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154305</wp:posOffset>
            </wp:positionV>
            <wp:extent cx="10369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the Warrant)</w:t>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157480</wp:posOffset>
            </wp:positionV>
            <wp:extent cx="157734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7734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 2026</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Neurogene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 W 24th Street, 5th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10011</w:t>
      </w:r>
    </w:p>
    <w:p>
      <w:pPr>
        <w:spacing w:after="0" w:line="19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i w:val="1"/>
          <w:iCs w:val="1"/>
          <w:color w:val="auto"/>
        </w:rPr>
        <w:t>Re:</w:t>
        <w:tab/>
        <w:t>Neurogene Inc.</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Registration Statement on Form S-3 (File No. 333-286057)</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color w:val="auto"/>
        </w:rPr>
        <w:t>We have examined the Registration Statement on Form S-3, File No. 333-286057 (the “</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of Neurogene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filed with the Securities and Exchange Commission (the “</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pursuant to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and the prospectus supplement thereto dated June 30, 2026 (the “</w:t>
      </w:r>
      <w:r>
        <w:rPr>
          <w:rFonts w:ascii="Times New Roman" w:cs="Times New Roman" w:eastAsia="Times New Roman" w:hAnsi="Times New Roman"/>
          <w:sz w:val="21"/>
          <w:szCs w:val="21"/>
          <w:u w:val="single" w:color="auto"/>
          <w:color w:val="auto"/>
        </w:rPr>
        <w:t>Prospectus Supplement</w:t>
      </w:r>
      <w:r>
        <w:rPr>
          <w:rFonts w:ascii="Times New Roman" w:cs="Times New Roman" w:eastAsia="Times New Roman" w:hAnsi="Times New Roman"/>
          <w:sz w:val="21"/>
          <w:szCs w:val="21"/>
          <w:color w:val="auto"/>
        </w:rPr>
        <w:t>”), in connection with the offering by the Company of (i) 4,124,999 shares of the Company’s common stock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par value $0.000001 per share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xml:space="preserve"> ”), and (ii) pre-funded warrants (the “</w:t>
      </w:r>
      <w:r>
        <w:rPr>
          <w:rFonts w:ascii="Times New Roman" w:cs="Times New Roman" w:eastAsia="Times New Roman" w:hAnsi="Times New Roman"/>
          <w:sz w:val="21"/>
          <w:szCs w:val="21"/>
          <w:u w:val="single" w:color="auto"/>
          <w:color w:val="auto"/>
        </w:rPr>
        <w:t>Pre-Funded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Warrants</w:t>
      </w:r>
      <w:r>
        <w:rPr>
          <w:rFonts w:ascii="Times New Roman" w:cs="Times New Roman" w:eastAsia="Times New Roman" w:hAnsi="Times New Roman"/>
          <w:sz w:val="21"/>
          <w:szCs w:val="21"/>
          <w:color w:val="auto"/>
        </w:rPr>
        <w:t>”) to purchase an aggregate of up to 666,666 shares of Common Stock (such shares issuable upon exercise of the Pre-Funded Warrants, the “</w:t>
      </w:r>
      <w:r>
        <w:rPr>
          <w:rFonts w:ascii="Times New Roman" w:cs="Times New Roman" w:eastAsia="Times New Roman" w:hAnsi="Times New Roman"/>
          <w:sz w:val="21"/>
          <w:szCs w:val="21"/>
          <w:u w:val="single" w:color="auto"/>
          <w:color w:val="auto"/>
        </w:rPr>
        <w:t>Pre-Funded Warrant Shares</w:t>
      </w:r>
      <w:r>
        <w:rPr>
          <w:rFonts w:ascii="Times New Roman" w:cs="Times New Roman" w:eastAsia="Times New Roman" w:hAnsi="Times New Roman"/>
          <w:sz w:val="21"/>
          <w:szCs w:val="21"/>
          <w:color w:val="auto"/>
        </w:rPr>
        <w:t>”). The Shares and the Pre-Funded Warrants are being sold pursuant to an underwriting agreement, dated June 30, 2026, among the Company and the representatives of the underwriters named therein.</w:t>
      </w:r>
    </w:p>
    <w:p>
      <w:pPr>
        <w:spacing w:after="0" w:line="17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In arriving at the opinion expressed below, we have examined originals, or copies certified or otherwise identified to our satisfaction as being true and complete copies of the originals, of specimen Common Stock certificates, the form of Pre-Funded Warrant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w:t>
      </w:r>
    </w:p>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Based upon the foregoing, and subject to the assumptions, exceptions, qualifications and limitations set forth herein, we are of the opinion that (i) the Shares, when issued against payment therefor as set forth in the Registration Statement, will be validly issued, fully paid and non-assessable, (ii) provided that the Pre-Funded Warrants have been duly executed and delivered by the Company and duly delivered to the purchaser thereof against payment therefor, then the Pre-Funded Warrants, when issued and sold as described in the Registration Statement, assuming a sufficient number of Pre-Funded Warrant Shares are at the time available for issuance, will be valid and legally binding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Gibson, Dunn &amp; Crutcher LLP</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One Embarcadero Center Suite 2600 | San Francisco, CA 94111-3715 | T: 415.393.8200 | F: 415.393.8306 | gibsondunn.com</w:t>
      </w:r>
    </w:p>
    <w:p>
      <w:pPr>
        <w:sectPr>
          <w:pgSz w:w="11900" w:h="16838" w:orient="portrait"/>
          <w:cols w:equalWidth="0" w:num="1">
            <w:col w:w="11240"/>
          </w:cols>
          <w:pgMar w:left="320" w:top="1440" w:right="339" w:bottom="1440" w:gutter="0" w:footer="0" w:header="0"/>
        </w:sectPr>
      </w:pPr>
    </w:p>
    <w:bookmarkStart w:id="66" w:name="page67"/>
    <w:bookmarkEnd w:id="66"/>
    <w:p>
      <w:pPr>
        <w:jc w:val="right"/>
        <w:ind w:right="60"/>
        <w:spacing w:after="0"/>
        <w:rPr>
          <w:sz w:val="20"/>
          <w:szCs w:val="20"/>
          <w:color w:val="auto"/>
        </w:rPr>
      </w:pPr>
      <w:r>
        <w:rPr>
          <w:rFonts w:ascii="Times New Roman" w:cs="Times New Roman" w:eastAsia="Times New Roman" w:hAnsi="Times New Roman"/>
          <w:sz w:val="22"/>
          <w:szCs w:val="22"/>
          <w:color w:val="auto"/>
        </w:rPr>
        <w:t>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-74295</wp:posOffset>
            </wp:positionV>
            <wp:extent cx="157734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340" cy="18859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2"/>
          <w:szCs w:val="22"/>
          <w:color w:val="auto"/>
        </w:rPr>
        <w:t>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 and implied covenants of good faith and fair dealing, and (iii) the Pre-Funded Warrant Shares, when issued upon a valid exercise of the Pre-Funded Warrants in accordance with their terms, will have been duly authorized and validly issued and will be fully paid and non-assessable.</w:t>
      </w:r>
    </w:p>
    <w:p>
      <w:pPr>
        <w:spacing w:after="0" w:line="20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We consent to the filing of this opinion as an exhibit to the Registration Statement, and we further consent to the use of our name under the caption “</w:t>
      </w:r>
      <w:r>
        <w:rPr>
          <w:rFonts w:ascii="Times New Roman" w:cs="Times New Roman" w:eastAsia="Times New Roman" w:hAnsi="Times New Roman"/>
          <w:sz w:val="22"/>
          <w:szCs w:val="22"/>
          <w:u w:val="single" w:color="auto"/>
          <w:color w:val="auto"/>
        </w:rPr>
        <w:t>Legal Matters</w:t>
      </w:r>
      <w:r>
        <w:rPr>
          <w:rFonts w:ascii="Times New Roman" w:cs="Times New Roman" w:eastAsia="Times New Roman" w:hAnsi="Times New Roman"/>
          <w:sz w:val="22"/>
          <w:szCs w:val="22"/>
          <w:color w:val="auto"/>
        </w:rPr>
        <w:t>” in the Registration Statement and the Prospectus Supplement. In giving these consents, we do not thereby admit that we are within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Gibson, Dunn &amp; Crutcher LLP</w:t>
      </w:r>
    </w:p>
    <w:sectPr>
      <w:pgSz w:w="11900" w:h="16838" w:orient="portrait"/>
      <w:cols w:equalWidth="0" w:num="1">
        <w:col w:w="11220"/>
      </w:cols>
      <w:pgMar w:left="320" w:top="1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lowerLetter"/>
      <w:start w:val="1"/>
    </w:lvl>
  </w:abstractNum>
  <w:abstractNum w:abstractNumId="2">
    <w:nsid w:val="4516DDE9"/>
    <w:multiLevelType w:val="hybridMultilevel"/>
    <w:lvl w:ilvl="0">
      <w:lvlJc w:val="left"/>
      <w:lvlText w:val="(%1)"/>
      <w:numFmt w:val="lowerRoman"/>
      <w:start w:val="1"/>
    </w:lvl>
  </w:abstractNum>
  <w:abstractNum w:abstractNumId="3">
    <w:nsid w:val="3006C83E"/>
    <w:multiLevelType w:val="hybridMultilevel"/>
    <w:lvl w:ilvl="0">
      <w:lvlJc w:val="left"/>
      <w:lvlText w:val="(%1)"/>
      <w:numFmt w:val="lowerRoman"/>
      <w:start w:val="2"/>
    </w:lvl>
  </w:abstractNum>
  <w:abstractNum w:abstractNumId="4">
    <w:nsid w:val="614FD4A1"/>
    <w:multiLevelType w:val="hybridMultilevel"/>
    <w:lvl w:ilvl="0">
      <w:lvlJc w:val="left"/>
      <w:lvlText w:val="(%1)"/>
      <w:numFmt w:val="lowerRoman"/>
      <w:start w:val="3"/>
    </w:lvl>
  </w:abstractNum>
  <w:abstractNum w:abstractNumId="5">
    <w:nsid w:val="419AC241"/>
    <w:multiLevelType w:val="hybridMultilevel"/>
    <w:lvl w:ilvl="0">
      <w:lvlJc w:val="left"/>
      <w:lvlText w:val="(%1)"/>
      <w:numFmt w:val="lowerRoman"/>
      <w:start w:val="7"/>
    </w:lvl>
  </w:abstractNum>
  <w:abstractNum w:abstractNumId="6">
    <w:nsid w:val="5577F8E1"/>
    <w:multiLevelType w:val="hybridMultilevel"/>
    <w:lvl w:ilvl="0">
      <w:lvlJc w:val="left"/>
      <w:lvlText w:val="(%1)"/>
      <w:numFmt w:val="lowerRoman"/>
      <w:start w:val="10"/>
    </w:lvl>
  </w:abstractNum>
  <w:abstractNum w:abstractNumId="7">
    <w:nsid w:val="440BADFC"/>
    <w:multiLevelType w:val="hybridMultilevel"/>
    <w:lvl w:ilvl="0">
      <w:lvlJc w:val="left"/>
      <w:lvlText w:val="(%1)"/>
      <w:numFmt w:val="lowerRoman"/>
      <w:start w:val="13"/>
    </w:lvl>
  </w:abstractNum>
  <w:abstractNum w:abstractNumId="8">
    <w:nsid w:val="5072367"/>
    <w:multiLevelType w:val="hybridMultilevel"/>
    <w:lvl w:ilvl="0">
      <w:lvlJc w:val="left"/>
      <w:lvlText w:val="%1"/>
      <w:numFmt w:val="lowerRoman"/>
      <w:start w:val="1"/>
    </w:lvl>
    <w:lvl w:ilvl="1">
      <w:lvlJc w:val="left"/>
      <w:lvlText w:val="(%2)"/>
      <w:numFmt w:val="lowerRoman"/>
      <w:start w:val="15"/>
    </w:lvl>
  </w:abstractNum>
  <w:abstractNum w:abstractNumId="9">
    <w:nsid w:val="3804823E"/>
    <w:multiLevelType w:val="hybridMultilevel"/>
    <w:lvl w:ilvl="0">
      <w:lvlJc w:val="left"/>
      <w:lvlText w:val="(%1)"/>
      <w:numFmt w:val="lowerRoman"/>
      <w:start w:val="1"/>
    </w:lvl>
    <w:lvl w:ilvl="1">
      <w:lvlJc w:val="left"/>
      <w:lvlText w:val="%2"/>
      <w:numFmt w:val="lowerRoman"/>
      <w:start w:val="1"/>
    </w:lvl>
  </w:abstractNum>
  <w:abstractNum w:abstractNumId="10">
    <w:nsid w:val="77465F01"/>
    <w:multiLevelType w:val="hybridMultilevel"/>
    <w:lvl w:ilvl="0">
      <w:lvlJc w:val="left"/>
      <w:lvlText w:val="(%1)"/>
      <w:numFmt w:val="lowerRoman"/>
      <w:start w:val="2"/>
    </w:lvl>
    <w:lvl w:ilvl="1">
      <w:lvlJc w:val="left"/>
      <w:lvlText w:val="(%2)"/>
      <w:numFmt w:val="lowerRoman"/>
      <w:start w:val="17"/>
    </w:lvl>
  </w:abstractNum>
  <w:abstractNum w:abstractNumId="11">
    <w:nsid w:val="7724C67E"/>
    <w:multiLevelType w:val="hybridMultilevel"/>
    <w:lvl w:ilvl="0">
      <w:lvlJc w:val="left"/>
      <w:lvlText w:val="(%1)"/>
      <w:numFmt w:val="lowerRoman"/>
      <w:start w:val="20"/>
    </w:lvl>
  </w:abstractNum>
  <w:abstractNum w:abstractNumId="12">
    <w:nsid w:val="5C482A97"/>
    <w:multiLevelType w:val="hybridMultilevel"/>
    <w:lvl w:ilvl="0">
      <w:lvlJc w:val="left"/>
      <w:lvlText w:val="(%1)"/>
      <w:numFmt w:val="lowerRoman"/>
      <w:start w:val="25"/>
    </w:lvl>
  </w:abstractNum>
  <w:abstractNum w:abstractNumId="13">
    <w:nsid w:val="2463B9EA"/>
    <w:multiLevelType w:val="hybridMultilevel"/>
    <w:lvl w:ilvl="0">
      <w:lvlJc w:val="left"/>
      <w:lvlText w:val="(%1)"/>
      <w:numFmt w:val="lowerRoman"/>
      <w:start w:val="26"/>
    </w:lvl>
  </w:abstractNum>
  <w:abstractNum w:abstractNumId="14">
    <w:nsid w:val="5E884ADC"/>
    <w:multiLevelType w:val="hybridMultilevel"/>
    <w:lvl w:ilvl="0">
      <w:lvlJc w:val="left"/>
      <w:lvlText w:val="(%1)"/>
      <w:numFmt w:val="lowerRoman"/>
      <w:start w:val="28"/>
    </w:lvl>
  </w:abstractNum>
  <w:abstractNum w:abstractNumId="15">
    <w:nsid w:val="51EAD36B"/>
    <w:multiLevelType w:val="hybridMultilevel"/>
    <w:lvl w:ilvl="0">
      <w:lvlJc w:val="left"/>
      <w:lvlText w:val="(%1)"/>
      <w:numFmt w:val="lowerRoman"/>
      <w:start w:val="30"/>
    </w:lvl>
  </w:abstractNum>
  <w:abstractNum w:abstractNumId="16">
    <w:nsid w:val="2D517796"/>
    <w:multiLevelType w:val="hybridMultilevel"/>
    <w:lvl w:ilvl="0">
      <w:lvlJc w:val="left"/>
      <w:lvlText w:val="(%1)"/>
      <w:numFmt w:val="lowerRoman"/>
      <w:start w:val="5"/>
    </w:lvl>
  </w:abstractNum>
  <w:abstractNum w:abstractNumId="17">
    <w:nsid w:val="580BD78F"/>
    <w:multiLevelType w:val="hybridMultilevel"/>
    <w:lvl w:ilvl="0">
      <w:lvlJc w:val="left"/>
      <w:lvlText w:val="(%1)"/>
      <w:numFmt w:val="lowerRoman"/>
      <w:start w:val="1"/>
    </w:lvl>
    <w:lvl w:ilvl="1">
      <w:lvlJc w:val="left"/>
      <w:lvlText w:val="(%2)"/>
      <w:numFmt w:val="lowerRoman"/>
      <w:start w:val="32"/>
    </w:lvl>
  </w:abstractNum>
  <w:abstractNum w:abstractNumId="18">
    <w:nsid w:val="153EA438"/>
    <w:multiLevelType w:val="hybridMultilevel"/>
    <w:lvl w:ilvl="0">
      <w:lvlJc w:val="left"/>
      <w:lvlText w:val="(%1)"/>
      <w:numFmt w:val="lowerRoman"/>
      <w:start w:val="34"/>
    </w:lvl>
  </w:abstractNum>
  <w:abstractNum w:abstractNumId="19">
    <w:nsid w:val="3855585C"/>
    <w:multiLevelType w:val="hybridMultilevel"/>
    <w:lvl w:ilvl="0">
      <w:lvlJc w:val="left"/>
      <w:lvlText w:val="(%1)"/>
      <w:numFmt w:val="lowerRoman"/>
      <w:start w:val="38"/>
    </w:lvl>
  </w:abstractNum>
  <w:abstractNum w:abstractNumId="20">
    <w:nsid w:val="70A64E2A"/>
    <w:multiLevelType w:val="hybridMultilevel"/>
    <w:lvl w:ilvl="0">
      <w:lvlJc w:val="left"/>
      <w:lvlText w:val="(%1)"/>
      <w:numFmt w:val="lowerRoman"/>
      <w:start w:val="39"/>
    </w:lvl>
  </w:abstractNum>
  <w:abstractNum w:abstractNumId="21">
    <w:nsid w:val="6A2342EC"/>
    <w:multiLevelType w:val="hybridMultilevel"/>
    <w:lvl w:ilvl="0">
      <w:lvlJc w:val="left"/>
      <w:lvlText w:val="(%1)"/>
      <w:numFmt w:val="lowerLetter"/>
      <w:start w:val="12"/>
    </w:lvl>
  </w:abstractNum>
  <w:abstractNum w:abstractNumId="22">
    <w:nsid w:val="2A487CB0"/>
    <w:multiLevelType w:val="hybridMultilevel"/>
    <w:lvl w:ilvl="0">
      <w:lvlJc w:val="left"/>
      <w:lvlText w:val="(%1)"/>
      <w:numFmt w:val="lowerLetter"/>
      <w:start w:val="2"/>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3"/>
    </w:lvl>
  </w:abstractNum>
  <w:abstractNum w:abstractNumId="25">
    <w:nsid w:val="2CD89A32"/>
    <w:multiLevelType w:val="hybridMultilevel"/>
    <w:lvl w:ilvl="0">
      <w:lvlJc w:val="left"/>
      <w:lvlText w:val="(%1)"/>
      <w:numFmt w:val="lowerLetter"/>
      <w:start w:val="4"/>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4"/>
    </w:lvl>
  </w:abstractNum>
  <w:abstractNum w:abstractNumId="28">
    <w:nsid w:val="4B588F54"/>
    <w:multiLevelType w:val="hybridMultilevel"/>
    <w:lvl w:ilvl="0">
      <w:lvlJc w:val="left"/>
      <w:lvlText w:val="(%1)"/>
      <w:numFmt w:val="lowerLetter"/>
      <w:start w:val="10"/>
    </w:lvl>
  </w:abstractNum>
  <w:abstractNum w:abstractNumId="29">
    <w:nsid w:val="542289EC"/>
    <w:multiLevelType w:val="hybridMultilevel"/>
    <w:lvl w:ilvl="0">
      <w:lvlJc w:val="left"/>
      <w:lvlText w:val="(%1)"/>
      <w:numFmt w:val="lowerLetter"/>
      <w:start w:val="14"/>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2"/>
    </w:lvl>
  </w:abstractNum>
  <w:abstractNum w:abstractNumId="33">
    <w:nsid w:val="32FFF902"/>
    <w:multiLevelType w:val="hybridMultilevel"/>
    <w:lvl w:ilvl="0">
      <w:lvlJc w:val="left"/>
      <w:lvlText w:val="(%1)"/>
      <w:numFmt w:val="lowerLetter"/>
      <w:start w:val="9"/>
    </w:lvl>
    <w:lvl w:ilvl="1">
      <w:lvlJc w:val="left"/>
      <w:lvlText w:val="(%2)"/>
      <w:numFmt w:val="lowerRoman"/>
      <w:start w:val="1"/>
    </w:lvl>
  </w:abstractNum>
  <w:abstractNum w:abstractNumId="34">
    <w:nsid w:val="684A481A"/>
    <w:multiLevelType w:val="hybridMultilevel"/>
    <w:lvl w:ilvl="0">
      <w:lvlJc w:val="left"/>
      <w:lvlText w:val="(%1)"/>
      <w:numFmt w:val="lowerLetter"/>
      <w:start w:val="14"/>
    </w:lvl>
  </w:abstractNum>
  <w:abstractNum w:abstractNumId="35">
    <w:nsid w:val="579478FE"/>
    <w:multiLevelType w:val="hybridMultilevel"/>
    <w:lvl w:ilvl="0">
      <w:lvlJc w:val="left"/>
      <w:lvlText w:val="(%1)"/>
      <w:numFmt w:val="lowerLetter"/>
      <w:start w:val="1"/>
    </w:lvl>
    <w:lvl w:ilvl="1">
      <w:lvlJc w:val="left"/>
      <w:lvlText w:val="(%2)"/>
      <w:numFmt w:val="lowerRoman"/>
      <w:start w:val="1"/>
    </w:lvl>
  </w:abstractNum>
  <w:abstractNum w:abstractNumId="36">
    <w:nsid w:val="749ABB43"/>
    <w:multiLevelType w:val="hybridMultilevel"/>
    <w:lvl w:ilvl="0">
      <w:lvlJc w:val="left"/>
      <w:lvlText w:val="(%1)"/>
      <w:numFmt w:val="lowerLetter"/>
      <w:start w:val="2"/>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Roman"/>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amp;"/>
      <w:numFmt w:val="bullet"/>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4"/>
    </w:lvl>
  </w:abstractNum>
  <w:abstractNum w:abstractNumId="43">
    <w:nsid w:val="520EEDD1"/>
    <w:multiLevelType w:val="hybridMultilevel"/>
    <w:lvl w:ilvl="0">
      <w:lvlJc w:val="left"/>
      <w:lvlText w:val="(%1)"/>
      <w:numFmt w:val="upperLetter"/>
      <w:start w:val="2"/>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2"/>
    </w:lvl>
  </w:abstractNum>
  <w:abstractNum w:abstractNumId="46">
    <w:nsid w:val="23F9C13C"/>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47">
    <w:nsid w:val="649BB77C"/>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48">
    <w:nsid w:val="275AC79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9">
    <w:nsid w:val="39386575"/>
    <w:multiLevelType w:val="hybridMultilevel"/>
    <w:lvl w:ilvl="0">
      <w:lvlJc w:val="left"/>
      <w:lvlText w:val="(%1)"/>
      <w:numFmt w:val="upperLetter"/>
      <w:start w:val="2"/>
    </w:lvl>
    <w:lvl w:ilvl="1">
      <w:lvlJc w:val="left"/>
      <w:lvlText w:val="(%2)"/>
      <w:numFmt w:val="lowerLetter"/>
      <w:start w:val="2"/>
    </w:lvl>
  </w:abstractNum>
  <w:abstractNum w:abstractNumId="50">
    <w:nsid w:val="1CF10FD8"/>
    <w:multiLevelType w:val="hybridMultilevel"/>
    <w:lvl w:ilvl="0">
      <w:lvlJc w:val="left"/>
      <w:lvlText w:val="%1"/>
      <w:numFmt w:val="decimal"/>
      <w:start w:val="1"/>
    </w:lvl>
    <w:lvl w:ilvl="1">
      <w:lvlJc w:val="left"/>
      <w:lvlText w:val="(%2)"/>
      <w:numFmt w:val="lowerLetter"/>
      <w:start w:val="3"/>
    </w:lvl>
  </w:abstractNum>
  <w:abstractNum w:abstractNumId="51">
    <w:nsid w:val="180115BE"/>
    <w:multiLevelType w:val="hybridMultilevel"/>
    <w:lvl w:ilvl="0">
      <w:lvlJc w:val="left"/>
      <w:lvlText w:val="%1."/>
      <w:numFmt w:val="decimal"/>
      <w:start w:val="6"/>
    </w:lvl>
    <w:lvl w:ilvl="1">
      <w:lvlJc w:val="left"/>
      <w:lvlText w:val="%2"/>
      <w:numFmt w:val="lowerLetter"/>
      <w:start w:val="1"/>
    </w:lvl>
  </w:abstractNum>
  <w:abstractNum w:abstractNumId="52">
    <w:nsid w:val="235BA861"/>
    <w:multiLevelType w:val="hybridMultilevel"/>
    <w:lvl w:ilvl="0">
      <w:lvlJc w:val="left"/>
      <w:lvlText w:val="%1."/>
      <w:numFmt w:val="decimal"/>
      <w:start w:val="9"/>
    </w:lvl>
    <w:lvl w:ilvl="1">
      <w:lvlJc w:val="left"/>
      <w:lvlText w:val="(%2)"/>
      <w:numFmt w:val="lowerLetter"/>
      <w:start w:val="1"/>
    </w:lvl>
  </w:abstractNum>
  <w:abstractNum w:abstractNumId="53">
    <w:nsid w:val="47398C89"/>
    <w:multiLevelType w:val="hybridMultilevel"/>
    <w:lvl w:ilvl="0">
      <w:lvlJc w:val="left"/>
      <w:lvlText w:val="(%1)"/>
      <w:numFmt w:val="lowerLetter"/>
      <w:start w:val="3"/>
    </w:lvl>
  </w:abstractNum>
  <w:abstractNum w:abstractNumId="54">
    <w:nsid w:val="354FE9F9"/>
    <w:multiLevelType w:val="hybridMultilevel"/>
    <w:lvl w:ilvl="0">
      <w:lvlJc w:val="left"/>
      <w:lvlText w:val="(%1)"/>
      <w:numFmt w:val="lowerLetter"/>
      <w:start w:val="5"/>
    </w:lvl>
  </w:abstractNum>
  <w:abstractNum w:abstractNumId="55">
    <w:nsid w:val="15B5AF5C"/>
    <w:multiLevelType w:val="hybridMultilevel"/>
    <w:lvl w:ilvl="0">
      <w:lvlJc w:val="left"/>
      <w:lvlText w:val="%1"/>
      <w:numFmt w:val="decimal"/>
      <w:start w:val="1"/>
    </w:lvl>
    <w:lvl w:ilvl="1">
      <w:lvlJc w:val="left"/>
      <w:lvlText w:val="(%2)"/>
      <w:numFmt w:val="lowerLetter"/>
      <w:start w:val="7"/>
    </w:lvl>
  </w:abstractNum>
  <w:abstractNum w:abstractNumId="56">
    <w:nsid w:val="741226BB"/>
    <w:multiLevelType w:val="hybridMultilevel"/>
    <w:lvl w:ilvl="0">
      <w:lvlJc w:val="left"/>
      <w:lvlText w:val="%1."/>
      <w:numFmt w:val="decimal"/>
      <w:start w:val="10"/>
    </w:lvl>
    <w:lvl w:ilvl="1">
      <w:lvlJc w:val="left"/>
      <w:lvlText w:val="%2"/>
      <w:numFmt w:val="lowerLetter"/>
      <w:start w:val="1"/>
    </w:lvl>
  </w:abstractNum>
  <w:abstractNum w:abstractNumId="57">
    <w:nsid w:val="D34B6A8"/>
    <w:multiLevelType w:val="hybridMultilevel"/>
    <w:lvl w:ilvl="0">
      <w:lvlJc w:val="left"/>
      <w:lvlText w:val="%1."/>
      <w:numFmt w:val="decimal"/>
      <w:start w:val="11"/>
    </w:lvl>
    <w:lvl w:ilvl="1">
      <w:lvlJc w:val="left"/>
      <w:lvlText w:val="(%2)"/>
      <w:numFmt w:val="lowerLetter"/>
      <w:start w:val="1"/>
    </w:lvl>
  </w:abstractNum>
  <w:abstractNum w:abstractNumId="58">
    <w:nsid w:val="10233C99"/>
    <w:multiLevelType w:val="hybridMultilevel"/>
    <w:lvl w:ilvl="0">
      <w:lvlJc w:val="left"/>
      <w:lvlText w:val="(%1)"/>
      <w:numFmt w:val="lowerLetter"/>
      <w:start w:val="2"/>
    </w:lvl>
  </w:abstractNum>
  <w:abstractNum w:abstractNumId="59">
    <w:nsid w:val="3F6AB60F"/>
    <w:multiLevelType w:val="hybridMultilevel"/>
    <w:lvl w:ilvl="0">
      <w:lvlJc w:val="left"/>
      <w:lvlText w:val="%1."/>
      <w:numFmt w:val="decimal"/>
      <w:start w:val="12"/>
    </w:lvl>
    <w:lvl w:ilvl="1">
      <w:lvlJc w:val="left"/>
      <w:lvlText w:val="(%2)"/>
      <w:numFmt w:val="lowerLetter"/>
      <w:start w:val="1"/>
    </w:lvl>
  </w:abstractNum>
  <w:abstractNum w:abstractNumId="60">
    <w:nsid w:val="61574095"/>
    <w:multiLevelType w:val="hybridMultilevel"/>
    <w:lvl w:ilvl="0">
      <w:lvlJc w:val="left"/>
      <w:lvlText w:val="(%1)"/>
      <w:numFmt w:val="lowerLetter"/>
      <w:start w:val="2"/>
    </w:lvl>
  </w:abstractNum>
  <w:abstractNum w:abstractNumId="61">
    <w:nsid w:val="7E0C57B1"/>
    <w:multiLevelType w:val="hybridMultilevel"/>
    <w:lvl w:ilvl="0">
      <w:lvlJc w:val="left"/>
      <w:lvlText w:val="(%1)"/>
      <w:numFmt w:val="lowerLetter"/>
      <w:start w:val="7"/>
    </w:lvl>
    <w:lvl w:ilvl="1">
      <w:lvlJc w:val="left"/>
      <w:lvlText w:val="(%2)"/>
      <w:numFmt w:val="lowerLetter"/>
      <w:start w:val="8"/>
    </w:lvl>
  </w:abstractNum>
  <w:abstractNum w:abstractNumId="62">
    <w:nsid w:val="77AE35E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2026-07-02T05:16:18Z</dcterms:created>
  <dcterms:modified xsi:type="dcterms:W3CDTF">2026-07-02T05:16:18Z</dcterms:modified>
</cp:coreProperties>
</file>