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598170</wp:posOffset>
            </wp:positionH>
            <wp:positionV relativeFrom="page">
              <wp:posOffset>1144905</wp:posOffset>
            </wp:positionV>
            <wp:extent cx="68059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5930" cy="8255"/>
                    </a:xfrm>
                    <a:prstGeom prst="rect">
                      <a:avLst/>
                    </a:prstGeom>
                    <a:noFill/>
                  </pic:spPr>
                </pic:pic>
              </a:graphicData>
            </a:graphic>
          </wp:anchor>
        </w:drawing>
        <w:drawing>
          <wp:anchor simplePos="0" relativeHeight="251657728" behindDoc="1" locked="0" layoutInCell="0" allowOverlap="1">
            <wp:simplePos x="0" y="0"/>
            <wp:positionH relativeFrom="page">
              <wp:posOffset>598170</wp:posOffset>
            </wp:positionH>
            <wp:positionV relativeFrom="page">
              <wp:posOffset>1111885</wp:posOffset>
            </wp:positionV>
            <wp:extent cx="68059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5930" cy="8255"/>
                    </a:xfrm>
                    <a:prstGeom prst="rect">
                      <a:avLst/>
                    </a:prstGeom>
                    <a:noFill/>
                  </pic:spPr>
                </pic:pic>
              </a:graphicData>
            </a:graphic>
          </wp:anchor>
        </w:drawing>
      </w:r>
    </w:p>
    <w:p>
      <w:pPr>
        <w:spacing w:after="0" w:line="29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1"/>
          <w:szCs w:val="31"/>
          <w:b w:val="1"/>
          <w:bCs w:val="1"/>
          <w:color w:val="181717"/>
        </w:rPr>
        <w:t>UNITED STATES</w:t>
      </w:r>
    </w:p>
    <w:p>
      <w:pPr>
        <w:spacing w:after="0" w:line="249"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1"/>
          <w:szCs w:val="31"/>
          <w:b w:val="1"/>
          <w:bCs w:val="1"/>
          <w:color w:val="181717"/>
        </w:rPr>
        <w:t>SECURITIES AND EXCHANGE COMMISSION</w:t>
      </w:r>
    </w:p>
    <w:p>
      <w:pPr>
        <w:spacing w:after="0" w:line="254"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4"/>
          <w:szCs w:val="24"/>
          <w:b w:val="1"/>
          <w:bCs w:val="1"/>
          <w:color w:val="181717"/>
        </w:rPr>
        <w:t>Washington, D.C. 20549</w:t>
      </w:r>
    </w:p>
    <w:p>
      <w:pPr>
        <w:spacing w:after="0" w:line="22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__________________________________________________</w:t>
      </w:r>
    </w:p>
    <w:p>
      <w:pPr>
        <w:spacing w:after="0" w:line="1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1"/>
          <w:szCs w:val="31"/>
          <w:b w:val="1"/>
          <w:bCs w:val="1"/>
          <w:color w:val="181717"/>
        </w:rPr>
        <w:t xml:space="preserve">FORM </w:t>
      </w:r>
      <w:r>
        <w:rPr>
          <w:rFonts w:ascii="Times New Roman" w:cs="Times New Roman" w:eastAsia="Times New Roman" w:hAnsi="Times New Roman"/>
          <w:sz w:val="31"/>
          <w:szCs w:val="31"/>
          <w:b w:val="1"/>
          <w:bCs w:val="1"/>
          <w:color w:val="000000"/>
        </w:rPr>
        <w:t>10-Q</w:t>
      </w:r>
    </w:p>
    <w:p>
      <w:pPr>
        <w:spacing w:after="0" w:line="256"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1"/>
          <w:szCs w:val="21"/>
          <w:color w:val="auto"/>
        </w:rPr>
        <w:t>__________________________________________________</w:t>
      </w:r>
    </w:p>
    <w:p>
      <w:pPr>
        <w:spacing w:after="0" w:line="137"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4"/>
          <w:szCs w:val="14"/>
          <w:color w:val="auto"/>
        </w:rPr>
        <w:t>(Mark One)</w:t>
      </w:r>
    </w:p>
    <w:p>
      <w:pPr>
        <w:spacing w:after="0" w:line="239" w:lineRule="exact"/>
        <w:rPr>
          <w:sz w:val="24"/>
          <w:szCs w:val="24"/>
          <w:color w:val="auto"/>
        </w:rPr>
      </w:pPr>
    </w:p>
    <w:p>
      <w:pPr>
        <w:ind w:left="920" w:hanging="590"/>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2026</w:t>
      </w:r>
    </w:p>
    <w:p>
      <w:pPr>
        <w:spacing w:after="0" w:line="14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282" w:lineRule="exact"/>
        <w:rPr>
          <w:sz w:val="24"/>
          <w:szCs w:val="24"/>
          <w:color w:val="auto"/>
        </w:rPr>
      </w:pPr>
    </w:p>
    <w:p>
      <w:pPr>
        <w:ind w:left="960" w:hanging="630"/>
        <w:spacing w:after="0"/>
        <w:tabs>
          <w:tab w:leader="none" w:pos="9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ACT OF 1934</w:t>
      </w:r>
    </w:p>
    <w:p>
      <w:pPr>
        <w:spacing w:after="0" w:line="230"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7"/>
          <w:szCs w:val="17"/>
          <w:b w:val="1"/>
          <w:bCs w:val="1"/>
          <w:color w:val="auto"/>
        </w:rPr>
        <w:t>For the transition period from ________ to ________</w:t>
      </w:r>
    </w:p>
    <w:p>
      <w:pPr>
        <w:spacing w:after="0" w:line="114" w:lineRule="exact"/>
        <w:rPr>
          <w:sz w:val="24"/>
          <w:szCs w:val="24"/>
          <w:color w:val="auto"/>
        </w:rPr>
      </w:pPr>
    </w:p>
    <w:tbl>
      <w:tblPr>
        <w:tblLayout w:type="fixed"/>
        <w:tblInd w:w="4200" w:type="dxa"/>
        <w:tblCellMar>
          <w:top w:w="0" w:type="dxa"/>
          <w:left w:w="0" w:type="dxa"/>
          <w:bottom w:w="0" w:type="dxa"/>
          <w:right w:w="0" w:type="dxa"/>
        </w:tblCellMar>
      </w:tblPr>
      <w:tr>
        <w:trPr>
          <w:trHeight w:val="227"/>
        </w:trPr>
        <w:tc>
          <w:tcPr>
            <w:tcW w:w="21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Commission file number:</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001-36327</w:t>
            </w:r>
          </w:p>
        </w:tc>
      </w:tr>
    </w:tbl>
    <w:p>
      <w:pPr>
        <w:spacing w:after="0" w:line="189"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21"/>
          <w:szCs w:val="21"/>
          <w:b w:val="1"/>
          <w:bCs w:val="1"/>
          <w:color w:val="auto"/>
        </w:rPr>
        <w:t>__________________________________________________</w:t>
      </w:r>
    </w:p>
    <w:p>
      <w:pPr>
        <w:spacing w:after="0" w:line="143"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31"/>
          <w:szCs w:val="31"/>
          <w:b w:val="1"/>
          <w:bCs w:val="1"/>
          <w:color w:val="181717"/>
        </w:rPr>
        <w:t>Neurogene Inc.</w:t>
      </w:r>
    </w:p>
    <w:p>
      <w:pPr>
        <w:spacing w:after="0" w:line="24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b w:val="1"/>
          <w:bCs w:val="1"/>
          <w:color w:val="181717"/>
        </w:rPr>
        <w:t>__________________________________</w:t>
      </w:r>
    </w:p>
    <w:p>
      <w:pPr>
        <w:spacing w:after="0" w:line="140"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b w:val="1"/>
          <w:bCs w:val="1"/>
          <w:color w:val="181717"/>
        </w:rPr>
        <w:t>(Exact name of registrant as specified in its charter)</w:t>
      </w:r>
    </w:p>
    <w:p>
      <w:pPr>
        <w:spacing w:after="0" w:line="256" w:lineRule="exact"/>
        <w:rPr>
          <w:sz w:val="24"/>
          <w:szCs w:val="24"/>
          <w:color w:val="auto"/>
        </w:rPr>
      </w:pPr>
    </w:p>
    <w:tbl>
      <w:tblPr>
        <w:tblLayout w:type="fixed"/>
        <w:tblInd w:w="680" w:type="dxa"/>
        <w:tblCellMar>
          <w:top w:w="0" w:type="dxa"/>
          <w:left w:w="0" w:type="dxa"/>
          <w:bottom w:w="0" w:type="dxa"/>
          <w:right w:w="0" w:type="dxa"/>
        </w:tblCellMar>
      </w:tblPr>
      <w:tr>
        <w:trPr>
          <w:trHeight w:val="227"/>
        </w:trPr>
        <w:tc>
          <w:tcPr>
            <w:tcW w:w="5660" w:type="dxa"/>
            <w:vAlign w:val="bottom"/>
          </w:tcPr>
          <w:p>
            <w:pPr>
              <w:jc w:val="center"/>
              <w:ind w:right="1474"/>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060" w:type="dxa"/>
            <w:vAlign w:val="bottom"/>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98-0542593</w:t>
            </w:r>
          </w:p>
        </w:tc>
      </w:tr>
      <w:tr>
        <w:trPr>
          <w:trHeight w:val="258"/>
        </w:trPr>
        <w:tc>
          <w:tcPr>
            <w:tcW w:w="5660" w:type="dxa"/>
            <w:vAlign w:val="bottom"/>
          </w:tcPr>
          <w:p>
            <w:pPr>
              <w:jc w:val="center"/>
              <w:ind w:right="1474"/>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tc>
        <w:tc>
          <w:tcPr>
            <w:tcW w:w="4060" w:type="dxa"/>
            <w:vAlign w:val="bottom"/>
          </w:tcPr>
          <w:p>
            <w:pPr>
              <w:jc w:val="center"/>
              <w:ind w:left="1474"/>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379"/>
        </w:trPr>
        <w:tc>
          <w:tcPr>
            <w:tcW w:w="5660" w:type="dxa"/>
            <w:vAlign w:val="bottom"/>
          </w:tcPr>
          <w:p>
            <w:pPr>
              <w:jc w:val="center"/>
              <w:ind w:right="1494"/>
              <w:spacing w:after="0"/>
              <w:rPr>
                <w:sz w:val="20"/>
                <w:szCs w:val="20"/>
                <w:color w:val="auto"/>
              </w:rPr>
            </w:pPr>
            <w:r>
              <w:rPr>
                <w:rFonts w:ascii="Times New Roman" w:cs="Times New Roman" w:eastAsia="Times New Roman" w:hAnsi="Times New Roman"/>
                <w:sz w:val="17"/>
                <w:szCs w:val="17"/>
                <w:b w:val="1"/>
                <w:bCs w:val="1"/>
                <w:color w:val="auto"/>
              </w:rPr>
              <w:t>535 W 24th St.</w:t>
            </w:r>
          </w:p>
        </w:tc>
        <w:tc>
          <w:tcPr>
            <w:tcW w:w="4060" w:type="dxa"/>
            <w:vAlign w:val="bottom"/>
          </w:tcPr>
          <w:p>
            <w:pPr>
              <w:spacing w:after="0"/>
              <w:rPr>
                <w:sz w:val="24"/>
                <w:szCs w:val="24"/>
                <w:color w:val="auto"/>
              </w:rPr>
            </w:pPr>
          </w:p>
        </w:tc>
      </w:tr>
      <w:tr>
        <w:trPr>
          <w:trHeight w:val="206"/>
        </w:trPr>
        <w:tc>
          <w:tcPr>
            <w:tcW w:w="5660" w:type="dxa"/>
            <w:vAlign w:val="bottom"/>
          </w:tcPr>
          <w:p>
            <w:pPr>
              <w:jc w:val="center"/>
              <w:ind w:right="1494"/>
              <w:spacing w:after="0"/>
              <w:rPr>
                <w:sz w:val="20"/>
                <w:szCs w:val="20"/>
                <w:color w:val="auto"/>
              </w:rPr>
            </w:pPr>
            <w:r>
              <w:rPr>
                <w:rFonts w:ascii="Times New Roman" w:cs="Times New Roman" w:eastAsia="Times New Roman" w:hAnsi="Times New Roman"/>
                <w:sz w:val="17"/>
                <w:szCs w:val="17"/>
                <w:b w:val="1"/>
                <w:bCs w:val="1"/>
                <w:color w:val="auto"/>
              </w:rPr>
              <w:t>5th Floor</w:t>
            </w:r>
          </w:p>
        </w:tc>
        <w:tc>
          <w:tcPr>
            <w:tcW w:w="4060" w:type="dxa"/>
            <w:vAlign w:val="bottom"/>
          </w:tcPr>
          <w:p>
            <w:pPr>
              <w:spacing w:after="0"/>
              <w:rPr>
                <w:sz w:val="17"/>
                <w:szCs w:val="17"/>
                <w:color w:val="auto"/>
              </w:rPr>
            </w:pPr>
          </w:p>
        </w:tc>
      </w:tr>
      <w:tr>
        <w:trPr>
          <w:trHeight w:val="227"/>
        </w:trPr>
        <w:tc>
          <w:tcPr>
            <w:tcW w:w="5660" w:type="dxa"/>
            <w:vAlign w:val="bottom"/>
          </w:tcPr>
          <w:p>
            <w:pPr>
              <w:jc w:val="center"/>
              <w:ind w:right="1474"/>
              <w:spacing w:after="0"/>
              <w:rPr>
                <w:sz w:val="20"/>
                <w:szCs w:val="20"/>
                <w:color w:val="auto"/>
              </w:rPr>
            </w:pPr>
            <w:r>
              <w:rPr>
                <w:rFonts w:ascii="Times New Roman" w:cs="Times New Roman" w:eastAsia="Times New Roman" w:hAnsi="Times New Roman"/>
                <w:sz w:val="17"/>
                <w:szCs w:val="17"/>
                <w:b w:val="1"/>
                <w:bCs w:val="1"/>
                <w:color w:val="auto"/>
                <w:w w:val="98"/>
              </w:rPr>
              <w:t>New York, NY</w:t>
            </w:r>
          </w:p>
        </w:tc>
        <w:tc>
          <w:tcPr>
            <w:tcW w:w="4060" w:type="dxa"/>
            <w:vAlign w:val="bottom"/>
          </w:tcPr>
          <w:p>
            <w:pPr>
              <w:jc w:val="right"/>
              <w:ind w:right="954"/>
              <w:spacing w:after="0"/>
              <w:rPr>
                <w:sz w:val="20"/>
                <w:szCs w:val="20"/>
                <w:color w:val="auto"/>
              </w:rPr>
            </w:pPr>
            <w:r>
              <w:rPr>
                <w:rFonts w:ascii="Times New Roman" w:cs="Times New Roman" w:eastAsia="Times New Roman" w:hAnsi="Times New Roman"/>
                <w:sz w:val="17"/>
                <w:szCs w:val="17"/>
                <w:b w:val="1"/>
                <w:bCs w:val="1"/>
                <w:color w:val="auto"/>
              </w:rPr>
              <w:t>10011</w:t>
            </w:r>
          </w:p>
        </w:tc>
      </w:tr>
      <w:tr>
        <w:trPr>
          <w:trHeight w:val="258"/>
        </w:trPr>
        <w:tc>
          <w:tcPr>
            <w:tcW w:w="5660" w:type="dxa"/>
            <w:vAlign w:val="bottom"/>
          </w:tcPr>
          <w:p>
            <w:pPr>
              <w:jc w:val="center"/>
              <w:ind w:right="1494"/>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4060" w:type="dxa"/>
            <w:vAlign w:val="bottom"/>
          </w:tcPr>
          <w:p>
            <w:pPr>
              <w:jc w:val="center"/>
              <w:ind w:left="1454"/>
              <w:spacing w:after="0"/>
              <w:rPr>
                <w:sz w:val="20"/>
                <w:szCs w:val="20"/>
                <w:color w:val="auto"/>
              </w:rPr>
            </w:pPr>
            <w:r>
              <w:rPr>
                <w:rFonts w:ascii="Times New Roman" w:cs="Times New Roman" w:eastAsia="Times New Roman" w:hAnsi="Times New Roman"/>
                <w:sz w:val="17"/>
                <w:szCs w:val="17"/>
                <w:color w:val="auto"/>
              </w:rPr>
              <w:t>(Zip Code)</w:t>
            </w:r>
          </w:p>
        </w:tc>
      </w:tr>
    </w:tbl>
    <w:p>
      <w:pPr>
        <w:spacing w:after="0" w:line="20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(855) 508-3568</w:t>
      </w:r>
    </w:p>
    <w:p>
      <w:pPr>
        <w:spacing w:after="0" w:line="8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7"/>
          <w:szCs w:val="17"/>
          <w:color w:val="181717"/>
        </w:rPr>
        <w:t>Registrant’s telephone number, including area code</w:t>
      </w:r>
    </w:p>
    <w:p>
      <w:pPr>
        <w:spacing w:after="0" w:line="153"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7"/>
          <w:szCs w:val="17"/>
          <w:color w:val="181717"/>
        </w:rPr>
        <w:t>Securities registered pursuant to Section 12(b) of the Act:</w:t>
      </w:r>
    </w:p>
    <w:p>
      <w:pPr>
        <w:spacing w:after="0" w:line="97" w:lineRule="exact"/>
        <w:rPr>
          <w:sz w:val="24"/>
          <w:szCs w:val="24"/>
          <w:color w:val="auto"/>
        </w:rPr>
      </w:pPr>
    </w:p>
    <w:tbl>
      <w:tblPr>
        <w:tblLayout w:type="fixed"/>
        <w:tblInd w:w="330" w:type="dxa"/>
        <w:tblCellMar>
          <w:top w:w="0" w:type="dxa"/>
          <w:left w:w="0" w:type="dxa"/>
          <w:bottom w:w="0" w:type="dxa"/>
          <w:right w:w="0" w:type="dxa"/>
        </w:tblCellMar>
      </w:tblPr>
      <w:tr>
        <w:trPr>
          <w:trHeight w:val="245"/>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Trading Symbol(s)</w:t>
            </w:r>
          </w:p>
        </w:tc>
        <w:tc>
          <w:tcPr>
            <w:tcW w:w="4260" w:type="dxa"/>
            <w:vAlign w:val="bottom"/>
            <w:tcBorders>
              <w:top w:val="single" w:sz="8" w:color="auto"/>
            </w:tcBorders>
          </w:tcPr>
          <w:p>
            <w:pPr>
              <w:jc w:val="center"/>
              <w:ind w:left="114"/>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5"/>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5"/>
        </w:trPr>
        <w:tc>
          <w:tcPr>
            <w:tcW w:w="45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$0.000001 per share</w:t>
            </w:r>
          </w:p>
        </w:tc>
        <w:tc>
          <w:tcPr>
            <w:tcW w:w="2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NGNE</w:t>
            </w:r>
          </w:p>
        </w:tc>
        <w:tc>
          <w:tcPr>
            <w:tcW w:w="4260" w:type="dxa"/>
            <w:vAlign w:val="bottom"/>
          </w:tcPr>
          <w:p>
            <w:pPr>
              <w:jc w:val="center"/>
              <w:ind w:left="114"/>
              <w:spacing w:after="0"/>
              <w:rPr>
                <w:sz w:val="20"/>
                <w:szCs w:val="20"/>
                <w:color w:val="auto"/>
              </w:rPr>
            </w:pPr>
            <w:r>
              <w:rPr>
                <w:rFonts w:ascii="Times New Roman" w:cs="Times New Roman" w:eastAsia="Times New Roman" w:hAnsi="Times New Roman"/>
                <w:sz w:val="17"/>
                <w:szCs w:val="17"/>
                <w:color w:val="auto"/>
              </w:rPr>
              <w:t>The Nasdaq Global Market</w:t>
            </w:r>
          </w:p>
        </w:tc>
      </w:tr>
      <w:tr>
        <w:trPr>
          <w:trHeight w:val="25"/>
        </w:trPr>
        <w:tc>
          <w:tcPr>
            <w:tcW w:w="4520" w:type="dxa"/>
            <w:vAlign w:val="bottom"/>
            <w:tcBorders>
              <w:left w:val="single" w:sz="8" w:color="auto"/>
              <w:bottom w:val="single" w:sz="8" w:color="auto"/>
              <w:right w:val="single" w:sz="8" w:color="auto"/>
            </w:tcBorders>
          </w:tcPr>
          <w:p>
            <w:pPr>
              <w:spacing w:after="0"/>
              <w:rPr>
                <w:sz w:val="2"/>
                <w:szCs w:val="2"/>
                <w:color w:val="auto"/>
              </w:rPr>
            </w:pPr>
          </w:p>
        </w:tc>
        <w:tc>
          <w:tcPr>
            <w:tcW w:w="2240" w:type="dxa"/>
            <w:vAlign w:val="bottom"/>
            <w:tcBorders>
              <w:bottom w:val="single" w:sz="8" w:color="auto"/>
              <w:right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bl>
    <w:p>
      <w:pPr>
        <w:spacing w:after="0" w:line="200" w:lineRule="exact"/>
        <w:rPr>
          <w:sz w:val="24"/>
          <w:szCs w:val="24"/>
          <w:color w:val="auto"/>
        </w:rPr>
      </w:pPr>
    </w:p>
    <w:p>
      <w:pPr>
        <w:spacing w:after="0" w:line="377" w:lineRule="exact"/>
        <w:rPr>
          <w:sz w:val="24"/>
          <w:szCs w:val="24"/>
          <w:color w:val="auto"/>
        </w:rPr>
      </w:pPr>
    </w:p>
    <w:p>
      <w:pPr>
        <w:jc w:val="both"/>
        <w:ind w:right="100" w:firstLine="309"/>
        <w:spacing w:after="0" w:line="270"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0" w:lineRule="exact"/>
        <w:rPr>
          <w:sz w:val="24"/>
          <w:szCs w:val="24"/>
          <w:color w:val="auto"/>
        </w:rPr>
      </w:pPr>
    </w:p>
    <w:p>
      <w:pPr>
        <w:spacing w:after="0" w:line="299" w:lineRule="exact"/>
        <w:rPr>
          <w:sz w:val="24"/>
          <w:szCs w:val="24"/>
          <w:color w:val="auto"/>
        </w:rPr>
      </w:pPr>
    </w:p>
    <w:p>
      <w:pPr>
        <w:ind w:left="6880"/>
        <w:spacing w:after="0" w:line="196" w:lineRule="exact"/>
        <w:tabs>
          <w:tab w:leader="none" w:pos="754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pacing w:after="0" w:line="128" w:lineRule="exact"/>
        <w:rPr>
          <w:sz w:val="24"/>
          <w:szCs w:val="24"/>
          <w:color w:val="auto"/>
        </w:rPr>
      </w:pPr>
    </w:p>
    <w:p>
      <w:pPr>
        <w:jc w:val="both"/>
        <w:ind w:right="100" w:firstLine="309"/>
        <w:spacing w:after="0" w:line="334"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ectPr>
          <w:pgSz w:w="11900" w:h="16838" w:orient="portrait"/>
          <w:cols w:equalWidth="0" w:num="1">
            <w:col w:w="11340"/>
          </w:cols>
          <w:pgMar w:left="320" w:top="1440" w:right="239" w:bottom="151" w:gutter="0" w:footer="0" w:header="0"/>
        </w:sectPr>
      </w:pPr>
    </w:p>
    <w:p>
      <w:pPr>
        <w:spacing w:after="0" w:line="200" w:lineRule="exact"/>
        <w:rPr>
          <w:sz w:val="24"/>
          <w:szCs w:val="24"/>
          <w:color w:val="auto"/>
        </w:rPr>
      </w:pPr>
    </w:p>
    <w:p>
      <w:pPr>
        <w:spacing w:after="0" w:line="260" w:lineRule="exact"/>
        <w:rPr>
          <w:sz w:val="24"/>
          <w:szCs w:val="24"/>
          <w:color w:val="auto"/>
        </w:rPr>
      </w:pPr>
    </w:p>
    <w:p>
      <w:pPr>
        <w:ind w:left="6880"/>
        <w:spacing w:after="0" w:line="196" w:lineRule="exact"/>
        <w:tabs>
          <w:tab w:leader="none" w:pos="7540" w:val="left"/>
        </w:tabs>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MS PGothic" w:cs="MS PGothic" w:eastAsia="MS PGothic" w:hAnsi="MS PGothic"/>
          <w:sz w:val="17"/>
          <w:szCs w:val="17"/>
          <w:color w:val="auto"/>
        </w:rPr>
        <w:t>☐</w:t>
      </w:r>
    </w:p>
    <w:p>
      <w:pPr>
        <w:sectPr>
          <w:pgSz w:w="11900" w:h="16838" w:orient="portrait"/>
          <w:cols w:equalWidth="0" w:num="1">
            <w:col w:w="11340"/>
          </w:cols>
          <w:pgMar w:left="320" w:top="1440" w:right="239" w:bottom="151" w:gutter="0" w:footer="0" w:header="0"/>
          <w:type w:val="continuous"/>
        </w:sectPr>
      </w:pPr>
    </w:p>
    <w:bookmarkStart w:id="1" w:name="page2"/>
    <w:bookmarkEnd w:id="1"/>
    <w:p>
      <w:pPr>
        <w:jc w:val="both"/>
        <w:ind w:right="40" w:firstLine="309"/>
        <w:spacing w:after="0" w:line="309"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0"/>
          <w:szCs w:val="20"/>
          <w:color w:val="auto"/>
        </w:rPr>
      </w:pPr>
    </w:p>
    <w:tbl>
      <w:tblPr>
        <w:tblLayout w:type="fixed"/>
        <w:tblInd w:w="340" w:type="dxa"/>
        <w:tblCellMar>
          <w:top w:w="0" w:type="dxa"/>
          <w:left w:w="0" w:type="dxa"/>
          <w:bottom w:w="0" w:type="dxa"/>
          <w:right w:w="0" w:type="dxa"/>
        </w:tblCellMar>
      </w:tblPr>
      <w:tr>
        <w:trPr>
          <w:trHeight w:val="223"/>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3100" w:type="dxa"/>
            <w:vAlign w:val="bottom"/>
          </w:tcPr>
          <w:p>
            <w:pPr>
              <w:ind w:left="840"/>
              <w:spacing w:after="0"/>
              <w:rPr>
                <w:sz w:val="20"/>
                <w:szCs w:val="20"/>
                <w:color w:val="auto"/>
              </w:rPr>
            </w:pPr>
            <w:r>
              <w:rPr>
                <w:rFonts w:ascii="Wingdings" w:cs="Wingdings" w:eastAsia="Wingdings" w:hAnsi="Wingdings"/>
                <w:sz w:val="17"/>
                <w:szCs w:val="17"/>
                <w:b w:val="1"/>
                <w:bCs w:val="1"/>
                <w:color w:val="auto"/>
              </w:rPr>
              <w:t>o</w:t>
            </w:r>
          </w:p>
        </w:tc>
        <w:tc>
          <w:tcPr>
            <w:tcW w:w="46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Accelerated filer</w:t>
            </w:r>
          </w:p>
        </w:tc>
        <w:tc>
          <w:tcPr>
            <w:tcW w:w="860" w:type="dxa"/>
            <w:vAlign w:val="bottom"/>
          </w:tcPr>
          <w:p>
            <w:pPr>
              <w:ind w:left="680"/>
              <w:spacing w:after="0"/>
              <w:rPr>
                <w:sz w:val="20"/>
                <w:szCs w:val="20"/>
                <w:color w:val="auto"/>
              </w:rPr>
            </w:pPr>
            <w:r>
              <w:rPr>
                <w:rFonts w:ascii="Wingdings" w:cs="Wingdings" w:eastAsia="Wingdings" w:hAnsi="Wingdings"/>
                <w:sz w:val="17"/>
                <w:szCs w:val="17"/>
                <w:b w:val="1"/>
                <w:bCs w:val="1"/>
                <w:color w:val="auto"/>
              </w:rPr>
              <w:t>o</w:t>
            </w:r>
          </w:p>
        </w:tc>
      </w:tr>
      <w:tr>
        <w:trPr>
          <w:trHeight w:val="309"/>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3100" w:type="dxa"/>
            <w:vAlign w:val="bottom"/>
          </w:tcPr>
          <w:p>
            <w:pPr>
              <w:ind w:left="840"/>
              <w:spacing w:after="0"/>
              <w:rPr>
                <w:sz w:val="20"/>
                <w:szCs w:val="20"/>
                <w:color w:val="auto"/>
              </w:rPr>
            </w:pPr>
            <w:r>
              <w:rPr>
                <w:rFonts w:ascii="Wingdings" w:cs="Wingdings" w:eastAsia="Wingdings" w:hAnsi="Wingdings"/>
                <w:sz w:val="17"/>
                <w:szCs w:val="17"/>
                <w:b w:val="1"/>
                <w:bCs w:val="1"/>
                <w:color w:val="auto"/>
              </w:rPr>
              <w:t>x</w:t>
            </w:r>
          </w:p>
        </w:tc>
        <w:tc>
          <w:tcPr>
            <w:tcW w:w="46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860" w:type="dxa"/>
            <w:vAlign w:val="bottom"/>
          </w:tcPr>
          <w:p>
            <w:pPr>
              <w:ind w:left="680"/>
              <w:spacing w:after="0"/>
              <w:rPr>
                <w:sz w:val="20"/>
                <w:szCs w:val="20"/>
                <w:color w:val="auto"/>
              </w:rPr>
            </w:pPr>
            <w:r>
              <w:rPr>
                <w:rFonts w:ascii="Wingdings" w:cs="Wingdings" w:eastAsia="Wingdings" w:hAnsi="Wingdings"/>
                <w:sz w:val="17"/>
                <w:szCs w:val="17"/>
                <w:b w:val="1"/>
                <w:bCs w:val="1"/>
                <w:color w:val="auto"/>
                <w:w w:val="88"/>
              </w:rPr>
              <w:t>x</w:t>
            </w:r>
          </w:p>
        </w:tc>
      </w:tr>
      <w:tr>
        <w:trPr>
          <w:trHeight w:val="309"/>
        </w:trPr>
        <w:tc>
          <w:tcPr>
            <w:tcW w:w="23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620" w:type="dxa"/>
            <w:vAlign w:val="bottom"/>
          </w:tcPr>
          <w:p>
            <w:pPr>
              <w:ind w:left="2080"/>
              <w:spacing w:after="0"/>
              <w:rPr>
                <w:sz w:val="20"/>
                <w:szCs w:val="20"/>
                <w:color w:val="auto"/>
              </w:rPr>
            </w:pPr>
            <w:r>
              <w:rPr>
                <w:rFonts w:ascii="Times New Roman" w:cs="Times New Roman" w:eastAsia="Times New Roman" w:hAnsi="Times New Roman"/>
                <w:sz w:val="17"/>
                <w:szCs w:val="17"/>
                <w:color w:val="auto"/>
              </w:rPr>
              <w:t>Emerging growth company</w:t>
            </w:r>
          </w:p>
        </w:tc>
        <w:tc>
          <w:tcPr>
            <w:tcW w:w="860" w:type="dxa"/>
            <w:vAlign w:val="bottom"/>
          </w:tcPr>
          <w:p>
            <w:pPr>
              <w:ind w:left="680"/>
              <w:spacing w:after="0"/>
              <w:rPr>
                <w:sz w:val="20"/>
                <w:szCs w:val="20"/>
                <w:color w:val="auto"/>
              </w:rPr>
            </w:pPr>
            <w:r>
              <w:rPr>
                <w:rFonts w:ascii="Wingdings" w:cs="Wingdings" w:eastAsia="Wingdings" w:hAnsi="Wingdings"/>
                <w:sz w:val="17"/>
                <w:szCs w:val="17"/>
                <w:b w:val="1"/>
                <w:bCs w:val="1"/>
                <w:color w:val="auto"/>
              </w:rPr>
              <w:t>o</w:t>
            </w:r>
          </w:p>
        </w:tc>
      </w:tr>
    </w:tbl>
    <w:p>
      <w:pPr>
        <w:spacing w:after="0" w:line="164" w:lineRule="exact"/>
        <w:rPr>
          <w:sz w:val="20"/>
          <w:szCs w:val="20"/>
          <w:color w:val="auto"/>
        </w:rPr>
      </w:pPr>
    </w:p>
    <w:p>
      <w:pPr>
        <w:ind w:right="40" w:firstLine="309"/>
        <w:spacing w:after="0" w:line="29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7"/>
          <w:szCs w:val="17"/>
          <w:b w:val="1"/>
          <w:bCs w:val="1"/>
          <w:color w:val="181717"/>
        </w:rPr>
        <w:t>o</w:t>
      </w:r>
    </w:p>
    <w:p>
      <w:pPr>
        <w:spacing w:after="0" w:line="1" w:lineRule="exact"/>
        <w:rPr>
          <w:sz w:val="20"/>
          <w:szCs w:val="20"/>
          <w:color w:val="auto"/>
        </w:rPr>
      </w:pPr>
    </w:p>
    <w:p>
      <w:pPr>
        <w:ind w:left="320" w:right="2000"/>
        <w:spacing w:after="0" w:line="28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8, 2026, there were 15,801,901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1322070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163830</wp:posOffset>
            </wp:positionV>
            <wp:extent cx="70021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2145" cy="825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131445</wp:posOffset>
            </wp:positionV>
            <wp:extent cx="70021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2145" cy="8255"/>
                    </a:xfrm>
                    <a:prstGeom prst="rect">
                      <a:avLst/>
                    </a:prstGeom>
                    <a:noFill/>
                  </pic:spPr>
                </pic:pic>
              </a:graphicData>
            </a:graphic>
          </wp:anchor>
        </w:drawing>
      </w:r>
    </w:p>
    <w:p>
      <w:pPr>
        <w:sectPr>
          <w:pgSz w:w="11900" w:h="16838" w:orient="portrait"/>
          <w:cols w:equalWidth="0" w:num="1">
            <w:col w:w="11280"/>
          </w:cols>
          <w:pgMar w:left="320" w:top="136"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5"/>
        </w:trPr>
        <w:tc>
          <w:tcPr>
            <w:tcW w:w="320" w:type="dxa"/>
            <w:vAlign w:val="bottom"/>
          </w:tcPr>
          <w:p>
            <w:pPr>
              <w:spacing w:after="0"/>
              <w:rPr>
                <w:sz w:val="17"/>
                <w:szCs w:val="17"/>
                <w:color w:val="auto"/>
              </w:rPr>
            </w:pPr>
          </w:p>
        </w:tc>
        <w:tc>
          <w:tcPr>
            <w:tcW w:w="9340" w:type="dxa"/>
            <w:vAlign w:val="bottom"/>
            <w:gridSpan w:val="19"/>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947"/>
        </w:trPr>
        <w:tc>
          <w:tcPr>
            <w:tcW w:w="3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140" w:type="dxa"/>
            <w:vAlign w:val="bottom"/>
            <w:gridSpan w:val="4"/>
          </w:tcPr>
          <w:p>
            <w:pPr>
              <w:ind w:left="16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4"/>
        </w:trPr>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580" w:type="dxa"/>
            <w:vAlign w:val="bottom"/>
          </w:tcPr>
          <w:p>
            <w:pPr>
              <w:ind w:left="660"/>
              <w:spacing w:after="0"/>
              <w:rPr>
                <w:sz w:val="20"/>
                <w:szCs w:val="20"/>
                <w:color w:val="auto"/>
              </w:rPr>
            </w:pPr>
            <w:r>
              <w:rPr>
                <w:rFonts w:ascii="Times New Roman" w:cs="Times New Roman" w:eastAsia="Times New Roman" w:hAnsi="Times New Roman"/>
                <w:sz w:val="17"/>
                <w:szCs w:val="17"/>
                <w:b w:val="1"/>
                <w:bCs w:val="1"/>
                <w:color w:val="auto"/>
              </w:rPr>
              <w:t>Page</w:t>
            </w:r>
          </w:p>
        </w:tc>
        <w:tc>
          <w:tcPr>
            <w:tcW w:w="100" w:type="dxa"/>
            <w:vAlign w:val="bottom"/>
          </w:tcPr>
          <w:p>
            <w:pPr>
              <w:spacing w:after="0"/>
              <w:rPr>
                <w:sz w:val="24"/>
                <w:szCs w:val="24"/>
                <w:color w:val="auto"/>
              </w:rPr>
            </w:pPr>
          </w:p>
        </w:tc>
      </w:tr>
      <w:tr>
        <w:trPr>
          <w:trHeight w:val="25"/>
        </w:trPr>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431"/>
        </w:trPr>
        <w:tc>
          <w:tcPr>
            <w:tcW w:w="320" w:type="dxa"/>
            <w:vAlign w:val="bottom"/>
          </w:tcPr>
          <w:p>
            <w:pPr>
              <w:spacing w:after="0"/>
              <w:rPr>
                <w:sz w:val="24"/>
                <w:szCs w:val="24"/>
                <w:color w:val="auto"/>
              </w:rPr>
            </w:pPr>
          </w:p>
        </w:tc>
        <w:tc>
          <w:tcPr>
            <w:tcW w:w="980" w:type="dxa"/>
            <w:vAlign w:val="bottom"/>
            <w:gridSpan w:val="7"/>
          </w:tcPr>
          <w:p>
            <w:pPr>
              <w:spacing w:after="0"/>
              <w:rPr>
                <w:sz w:val="20"/>
                <w:szCs w:val="20"/>
                <w:color w:val="auto"/>
              </w:rPr>
            </w:pPr>
            <w:r>
              <w:rPr>
                <w:rFonts w:ascii="Times New Roman" w:cs="Times New Roman" w:eastAsia="Times New Roman" w:hAnsi="Times New Roman"/>
                <w:sz w:val="17"/>
                <w:szCs w:val="17"/>
                <w:color w:val="3051F2"/>
              </w:rPr>
              <w:t>Part I</w:t>
            </w:r>
          </w:p>
        </w:tc>
        <w:tc>
          <w:tcPr>
            <w:tcW w:w="8360" w:type="dxa"/>
            <w:vAlign w:val="bottom"/>
            <w:gridSpan w:val="12"/>
          </w:tcPr>
          <w:p>
            <w:pPr>
              <w:spacing w:after="0"/>
              <w:rPr>
                <w:sz w:val="20"/>
                <w:szCs w:val="20"/>
                <w:color w:val="auto"/>
              </w:rPr>
            </w:pPr>
            <w:r>
              <w:rPr>
                <w:rFonts w:ascii="Times New Roman" w:cs="Times New Roman" w:eastAsia="Times New Roman" w:hAnsi="Times New Roman"/>
                <w:sz w:val="17"/>
                <w:szCs w:val="17"/>
                <w:color w:val="3051F2"/>
              </w:rPr>
              <w:t>Financial Information</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3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220" w:type="dxa"/>
            <w:vAlign w:val="bottom"/>
            <w:tcBorders>
              <w:right w:val="single" w:sz="8" w:color="3051F2"/>
            </w:tcBorders>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52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7"/>
                <w:szCs w:val="17"/>
                <w:color w:val="3051F2"/>
              </w:rPr>
              <w:t>Item 1.</w:t>
            </w:r>
          </w:p>
        </w:tc>
        <w:tc>
          <w:tcPr>
            <w:tcW w:w="460" w:type="dxa"/>
            <w:vAlign w:val="bottom"/>
            <w:gridSpan w:val="3"/>
          </w:tcPr>
          <w:p>
            <w:pPr>
              <w:spacing w:after="0"/>
              <w:rPr>
                <w:sz w:val="20"/>
                <w:szCs w:val="20"/>
                <w:color w:val="auto"/>
              </w:rPr>
            </w:pPr>
          </w:p>
        </w:tc>
        <w:tc>
          <w:tcPr>
            <w:tcW w:w="1500" w:type="dxa"/>
            <w:vAlign w:val="bottom"/>
            <w:tcBorders>
              <w:bottom w:val="single" w:sz="8" w:color="3051F2"/>
            </w:tcBorders>
            <w:gridSpan w:val="6"/>
          </w:tcPr>
          <w:p>
            <w:pPr>
              <w:spacing w:after="0"/>
              <w:rPr>
                <w:sz w:val="20"/>
                <w:szCs w:val="20"/>
                <w:color w:val="auto"/>
              </w:rPr>
            </w:pPr>
            <w:r>
              <w:rPr>
                <w:rFonts w:ascii="Times New Roman" w:cs="Times New Roman" w:eastAsia="Times New Roman" w:hAnsi="Times New Roman"/>
                <w:sz w:val="17"/>
                <w:szCs w:val="17"/>
                <w:color w:val="3051F2"/>
              </w:rPr>
              <w:t>Financial Statements</w:t>
            </w:r>
          </w:p>
        </w:tc>
        <w:tc>
          <w:tcPr>
            <w:tcW w:w="6860" w:type="dxa"/>
            <w:vAlign w:val="bottom"/>
            <w:gridSpan w:val="6"/>
          </w:tcPr>
          <w:p>
            <w:pPr>
              <w:spacing w:after="0"/>
              <w:rPr>
                <w:sz w:val="20"/>
                <w:szCs w:val="20"/>
                <w:color w:val="auto"/>
              </w:rPr>
            </w:pP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7"/>
                <w:szCs w:val="17"/>
                <w:color w:val="3051F2"/>
              </w:rPr>
              <w:t>Item 2.</w:t>
            </w:r>
          </w:p>
        </w:tc>
        <w:tc>
          <w:tcPr>
            <w:tcW w:w="460" w:type="dxa"/>
            <w:vAlign w:val="bottom"/>
            <w:gridSpan w:val="3"/>
          </w:tcPr>
          <w:p>
            <w:pPr>
              <w:spacing w:after="0"/>
              <w:rPr>
                <w:sz w:val="20"/>
                <w:szCs w:val="20"/>
                <w:color w:val="auto"/>
              </w:rPr>
            </w:pPr>
          </w:p>
        </w:tc>
        <w:tc>
          <w:tcPr>
            <w:tcW w:w="8360" w:type="dxa"/>
            <w:vAlign w:val="bottom"/>
            <w:gridSpan w:val="12"/>
          </w:tcPr>
          <w:p>
            <w:pPr>
              <w:spacing w:after="0"/>
              <w:rPr>
                <w:sz w:val="20"/>
                <w:szCs w:val="20"/>
                <w:color w:val="auto"/>
              </w:rPr>
            </w:pPr>
            <w:r>
              <w:rPr>
                <w:rFonts w:ascii="Times New Roman" w:cs="Times New Roman" w:eastAsia="Times New Roman" w:hAnsi="Times New Roman"/>
                <w:sz w:val="17"/>
                <w:szCs w:val="17"/>
                <w:color w:val="3051F2"/>
              </w:rPr>
              <w:t>Management's Discussion and Analysis of Financial Condition and Results of Operations</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20</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520" w:type="dxa"/>
            <w:vAlign w:val="bottom"/>
            <w:tcBorders>
              <w:top w:val="single" w:sz="8" w:color="3051F2"/>
              <w:bottom w:val="single" w:sz="8" w:color="3051F2"/>
            </w:tcBorders>
            <w:gridSpan w:val="4"/>
          </w:tcPr>
          <w:p>
            <w:pPr>
              <w:spacing w:after="0"/>
              <w:rPr>
                <w:sz w:val="20"/>
                <w:szCs w:val="20"/>
                <w:color w:val="auto"/>
              </w:rPr>
            </w:pPr>
            <w:r>
              <w:rPr>
                <w:rFonts w:ascii="Times New Roman" w:cs="Times New Roman" w:eastAsia="Times New Roman" w:hAnsi="Times New Roman"/>
                <w:sz w:val="17"/>
                <w:szCs w:val="17"/>
                <w:color w:val="3051F2"/>
              </w:rPr>
              <w:t>Item 3.</w:t>
            </w:r>
          </w:p>
        </w:tc>
        <w:tc>
          <w:tcPr>
            <w:tcW w:w="460" w:type="dxa"/>
            <w:vAlign w:val="bottom"/>
            <w:gridSpan w:val="3"/>
          </w:tcPr>
          <w:p>
            <w:pPr>
              <w:spacing w:after="0"/>
              <w:rPr>
                <w:sz w:val="20"/>
                <w:szCs w:val="20"/>
                <w:color w:val="auto"/>
              </w:rPr>
            </w:pPr>
          </w:p>
        </w:tc>
        <w:tc>
          <w:tcPr>
            <w:tcW w:w="4160" w:type="dxa"/>
            <w:vAlign w:val="bottom"/>
            <w:tcBorders>
              <w:top w:val="single" w:sz="8" w:color="3051F2"/>
              <w:bottom w:val="single" w:sz="8" w:color="3051F2"/>
            </w:tcBorders>
            <w:gridSpan w:val="10"/>
          </w:tcPr>
          <w:p>
            <w:pPr>
              <w:spacing w:after="0"/>
              <w:rPr>
                <w:sz w:val="20"/>
                <w:szCs w:val="20"/>
                <w:color w:val="auto"/>
              </w:rPr>
            </w:pPr>
            <w:r>
              <w:rPr>
                <w:rFonts w:ascii="Times New Roman" w:cs="Times New Roman" w:eastAsia="Times New Roman" w:hAnsi="Times New Roman"/>
                <w:sz w:val="17"/>
                <w:szCs w:val="17"/>
                <w:color w:val="3051F2"/>
              </w:rPr>
              <w:t>Quantitative and Qualitative Disclosures About Market Risk</w:t>
            </w:r>
          </w:p>
        </w:tc>
        <w:tc>
          <w:tcPr>
            <w:tcW w:w="1980" w:type="dxa"/>
            <w:vAlign w:val="bottom"/>
            <w:tcBorders>
              <w:top w:val="single" w:sz="8" w:color="3051F2"/>
            </w:tcBorders>
          </w:tcPr>
          <w:p>
            <w:pPr>
              <w:spacing w:after="0"/>
              <w:rPr>
                <w:sz w:val="20"/>
                <w:szCs w:val="20"/>
                <w:color w:val="auto"/>
              </w:rPr>
            </w:pPr>
          </w:p>
        </w:tc>
        <w:tc>
          <w:tcPr>
            <w:tcW w:w="2220" w:type="dxa"/>
            <w:vAlign w:val="bottom"/>
          </w:tcPr>
          <w:p>
            <w:pPr>
              <w:spacing w:after="0"/>
              <w:rPr>
                <w:sz w:val="20"/>
                <w:szCs w:val="20"/>
                <w:color w:val="auto"/>
              </w:rPr>
            </w:pP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34</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7"/>
                <w:szCs w:val="17"/>
                <w:color w:val="3051F2"/>
                <w:w w:val="99"/>
              </w:rPr>
              <w:t>Item 4.</w:t>
            </w:r>
          </w:p>
        </w:tc>
        <w:tc>
          <w:tcPr>
            <w:tcW w:w="480" w:type="dxa"/>
            <w:vAlign w:val="bottom"/>
            <w:gridSpan w:val="4"/>
          </w:tcPr>
          <w:p>
            <w:pPr>
              <w:spacing w:after="0"/>
              <w:rPr>
                <w:sz w:val="20"/>
                <w:szCs w:val="20"/>
                <w:color w:val="auto"/>
              </w:rPr>
            </w:pPr>
          </w:p>
        </w:tc>
        <w:tc>
          <w:tcPr>
            <w:tcW w:w="8360" w:type="dxa"/>
            <w:vAlign w:val="bottom"/>
            <w:gridSpan w:val="12"/>
          </w:tcPr>
          <w:p>
            <w:pPr>
              <w:spacing w:after="0"/>
              <w:rPr>
                <w:sz w:val="20"/>
                <w:szCs w:val="20"/>
                <w:color w:val="auto"/>
              </w:rPr>
            </w:pPr>
            <w:r>
              <w:rPr>
                <w:rFonts w:ascii="Times New Roman" w:cs="Times New Roman" w:eastAsia="Times New Roman" w:hAnsi="Times New Roman"/>
                <w:sz w:val="17"/>
                <w:szCs w:val="17"/>
                <w:color w:val="3051F2"/>
              </w:rPr>
              <w:t>Controls and Procedures</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34</w:t>
            </w:r>
          </w:p>
        </w:tc>
        <w:tc>
          <w:tcPr>
            <w:tcW w:w="100" w:type="dxa"/>
            <w:vAlign w:val="bottom"/>
          </w:tcPr>
          <w:p>
            <w:pPr>
              <w:spacing w:after="0"/>
              <w:rPr>
                <w:sz w:val="20"/>
                <w:szCs w:val="20"/>
                <w:color w:val="auto"/>
              </w:rPr>
            </w:pPr>
          </w:p>
        </w:tc>
      </w:tr>
      <w:tr>
        <w:trPr>
          <w:trHeight w:val="496"/>
        </w:trPr>
        <w:tc>
          <w:tcPr>
            <w:tcW w:w="320" w:type="dxa"/>
            <w:vAlign w:val="bottom"/>
          </w:tcPr>
          <w:p>
            <w:pPr>
              <w:spacing w:after="0"/>
              <w:rPr>
                <w:sz w:val="24"/>
                <w:szCs w:val="24"/>
                <w:color w:val="auto"/>
              </w:rPr>
            </w:pPr>
          </w:p>
        </w:tc>
        <w:tc>
          <w:tcPr>
            <w:tcW w:w="500" w:type="dxa"/>
            <w:vAlign w:val="bottom"/>
            <w:tcBorders>
              <w:top w:val="single" w:sz="8" w:color="3051F2"/>
            </w:tcBorders>
            <w:gridSpan w:val="3"/>
          </w:tcPr>
          <w:p>
            <w:pPr>
              <w:spacing w:after="0"/>
              <w:rPr>
                <w:sz w:val="20"/>
                <w:szCs w:val="20"/>
                <w:color w:val="auto"/>
              </w:rPr>
            </w:pPr>
            <w:r>
              <w:rPr>
                <w:rFonts w:ascii="Times New Roman" w:cs="Times New Roman" w:eastAsia="Times New Roman" w:hAnsi="Times New Roman"/>
                <w:sz w:val="17"/>
                <w:szCs w:val="17"/>
                <w:color w:val="3051F2"/>
              </w:rPr>
              <w:t>Part II</w:t>
            </w:r>
          </w:p>
        </w:tc>
        <w:tc>
          <w:tcPr>
            <w:tcW w:w="480" w:type="dxa"/>
            <w:vAlign w:val="bottom"/>
            <w:gridSpan w:val="4"/>
          </w:tcPr>
          <w:p>
            <w:pPr>
              <w:spacing w:after="0"/>
              <w:rPr>
                <w:sz w:val="24"/>
                <w:szCs w:val="24"/>
                <w:color w:val="auto"/>
              </w:rPr>
            </w:pPr>
          </w:p>
        </w:tc>
        <w:tc>
          <w:tcPr>
            <w:tcW w:w="1680" w:type="dxa"/>
            <w:vAlign w:val="bottom"/>
            <w:tcBorders>
              <w:top w:val="single" w:sz="8" w:color="3051F2"/>
            </w:tcBorders>
            <w:gridSpan w:val="7"/>
          </w:tcPr>
          <w:p>
            <w:pPr>
              <w:spacing w:after="0"/>
              <w:rPr>
                <w:sz w:val="20"/>
                <w:szCs w:val="20"/>
                <w:color w:val="auto"/>
              </w:rPr>
            </w:pPr>
            <w:r>
              <w:rPr>
                <w:rFonts w:ascii="Times New Roman" w:cs="Times New Roman" w:eastAsia="Times New Roman" w:hAnsi="Times New Roman"/>
                <w:sz w:val="17"/>
                <w:szCs w:val="17"/>
                <w:color w:val="3051F2"/>
              </w:rPr>
              <w:t>Other Information</w:t>
            </w:r>
          </w:p>
        </w:tc>
        <w:tc>
          <w:tcPr>
            <w:tcW w:w="6680" w:type="dxa"/>
            <w:vAlign w:val="bottom"/>
            <w:gridSpan w:val="5"/>
          </w:tcPr>
          <w:p>
            <w:pPr>
              <w:spacing w:after="0"/>
              <w:rPr>
                <w:sz w:val="24"/>
                <w:szCs w:val="24"/>
                <w:color w:val="auto"/>
              </w:rPr>
            </w:pP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35</w:t>
            </w:r>
          </w:p>
        </w:tc>
        <w:tc>
          <w:tcPr>
            <w:tcW w:w="100" w:type="dxa"/>
            <w:vAlign w:val="bottom"/>
          </w:tcPr>
          <w:p>
            <w:pPr>
              <w:spacing w:after="0"/>
              <w:rPr>
                <w:sz w:val="24"/>
                <w:szCs w:val="24"/>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gridSpan w:val="2"/>
            <w:shd w:val="clear" w:color="auto" w:fill="3051F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400" w:type="dxa"/>
            <w:vAlign w:val="bottom"/>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520" w:type="dxa"/>
            <w:vAlign w:val="bottom"/>
            <w:tcBorders>
              <w:bottom w:val="single" w:sz="8" w:color="3051F2"/>
            </w:tcBorders>
            <w:gridSpan w:val="4"/>
          </w:tcPr>
          <w:p>
            <w:pPr>
              <w:spacing w:after="0"/>
              <w:rPr>
                <w:sz w:val="20"/>
                <w:szCs w:val="20"/>
                <w:color w:val="auto"/>
              </w:rPr>
            </w:pPr>
            <w:r>
              <w:rPr>
                <w:rFonts w:ascii="Times New Roman" w:cs="Times New Roman" w:eastAsia="Times New Roman" w:hAnsi="Times New Roman"/>
                <w:sz w:val="17"/>
                <w:szCs w:val="17"/>
                <w:color w:val="3051F2"/>
              </w:rPr>
              <w:t>Item 1.</w:t>
            </w:r>
          </w:p>
        </w:tc>
        <w:tc>
          <w:tcPr>
            <w:tcW w:w="460" w:type="dxa"/>
            <w:vAlign w:val="bottom"/>
            <w:gridSpan w:val="3"/>
          </w:tcPr>
          <w:p>
            <w:pPr>
              <w:spacing w:after="0"/>
              <w:rPr>
                <w:sz w:val="20"/>
                <w:szCs w:val="20"/>
                <w:color w:val="auto"/>
              </w:rPr>
            </w:pPr>
          </w:p>
        </w:tc>
        <w:tc>
          <w:tcPr>
            <w:tcW w:w="1280" w:type="dxa"/>
            <w:vAlign w:val="bottom"/>
            <w:tcBorders>
              <w:bottom w:val="single" w:sz="8" w:color="3051F2"/>
            </w:tcBorders>
            <w:gridSpan w:val="5"/>
          </w:tcPr>
          <w:p>
            <w:pPr>
              <w:spacing w:after="0"/>
              <w:rPr>
                <w:sz w:val="20"/>
                <w:szCs w:val="20"/>
                <w:color w:val="auto"/>
              </w:rPr>
            </w:pPr>
            <w:r>
              <w:rPr>
                <w:rFonts w:ascii="Times New Roman" w:cs="Times New Roman" w:eastAsia="Times New Roman" w:hAnsi="Times New Roman"/>
                <w:sz w:val="17"/>
                <w:szCs w:val="17"/>
                <w:color w:val="3051F2"/>
                <w:w w:val="99"/>
              </w:rPr>
              <w:t>Legal Proceedings</w:t>
            </w:r>
          </w:p>
        </w:tc>
        <w:tc>
          <w:tcPr>
            <w:tcW w:w="7080" w:type="dxa"/>
            <w:vAlign w:val="bottom"/>
            <w:gridSpan w:val="7"/>
          </w:tcPr>
          <w:p>
            <w:pPr>
              <w:spacing w:after="0"/>
              <w:rPr>
                <w:sz w:val="20"/>
                <w:szCs w:val="20"/>
                <w:color w:val="auto"/>
              </w:rPr>
            </w:pP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35</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980" w:type="dxa"/>
            <w:vAlign w:val="bottom"/>
            <w:gridSpan w:val="7"/>
          </w:tcPr>
          <w:p>
            <w:pPr>
              <w:spacing w:after="0"/>
              <w:rPr>
                <w:sz w:val="20"/>
                <w:szCs w:val="20"/>
                <w:color w:val="auto"/>
              </w:rPr>
            </w:pPr>
            <w:r>
              <w:rPr>
                <w:rFonts w:ascii="Times New Roman" w:cs="Times New Roman" w:eastAsia="Times New Roman" w:hAnsi="Times New Roman"/>
                <w:sz w:val="17"/>
                <w:szCs w:val="17"/>
                <w:color w:val="3051F2"/>
              </w:rPr>
              <w:t>Item 1A.</w:t>
            </w:r>
          </w:p>
        </w:tc>
        <w:tc>
          <w:tcPr>
            <w:tcW w:w="8360" w:type="dxa"/>
            <w:vAlign w:val="bottom"/>
            <w:gridSpan w:val="12"/>
          </w:tcPr>
          <w:p>
            <w:pPr>
              <w:spacing w:after="0"/>
              <w:rPr>
                <w:sz w:val="20"/>
                <w:szCs w:val="20"/>
                <w:color w:val="auto"/>
              </w:rPr>
            </w:pPr>
            <w:r>
              <w:rPr>
                <w:rFonts w:ascii="Times New Roman" w:cs="Times New Roman" w:eastAsia="Times New Roman" w:hAnsi="Times New Roman"/>
                <w:sz w:val="17"/>
                <w:szCs w:val="17"/>
                <w:color w:val="3051F2"/>
              </w:rPr>
              <w:t>Risk Factors</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35</w:t>
            </w:r>
          </w:p>
        </w:tc>
        <w:tc>
          <w:tcPr>
            <w:tcW w:w="1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620" w:type="dxa"/>
            <w:vAlign w:val="bottom"/>
            <w:gridSpan w:val="5"/>
            <w:shd w:val="clear" w:color="auto" w:fill="3051F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2"/>
            <w:shd w:val="clear" w:color="auto" w:fill="3051F2"/>
          </w:tcPr>
          <w:p>
            <w:pPr>
              <w:spacing w:after="0" w:line="20" w:lineRule="exact"/>
              <w:rPr>
                <w:sz w:val="1"/>
                <w:szCs w:val="1"/>
                <w:color w:val="auto"/>
              </w:rPr>
            </w:pPr>
          </w:p>
        </w:tc>
        <w:tc>
          <w:tcPr>
            <w:tcW w:w="300" w:type="dxa"/>
            <w:vAlign w:val="bottom"/>
            <w:shd w:val="clear" w:color="auto" w:fill="3051F2"/>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7"/>
                <w:szCs w:val="17"/>
                <w:color w:val="3051F2"/>
              </w:rPr>
              <w:t>Item 2.</w:t>
            </w:r>
          </w:p>
        </w:tc>
        <w:tc>
          <w:tcPr>
            <w:tcW w:w="100" w:type="dxa"/>
            <w:vAlign w:val="bottom"/>
          </w:tcPr>
          <w:p>
            <w:pPr>
              <w:spacing w:after="0"/>
              <w:rPr>
                <w:sz w:val="20"/>
                <w:szCs w:val="20"/>
                <w:color w:val="auto"/>
              </w:rPr>
            </w:pPr>
          </w:p>
        </w:tc>
        <w:tc>
          <w:tcPr>
            <w:tcW w:w="360" w:type="dxa"/>
            <w:vAlign w:val="bottom"/>
            <w:gridSpan w:val="2"/>
          </w:tcPr>
          <w:p>
            <w:pPr>
              <w:spacing w:after="0"/>
              <w:rPr>
                <w:sz w:val="20"/>
                <w:szCs w:val="20"/>
                <w:color w:val="auto"/>
              </w:rPr>
            </w:pPr>
          </w:p>
        </w:tc>
        <w:tc>
          <w:tcPr>
            <w:tcW w:w="8360" w:type="dxa"/>
            <w:vAlign w:val="bottom"/>
            <w:gridSpan w:val="12"/>
          </w:tcPr>
          <w:p>
            <w:pPr>
              <w:spacing w:after="0"/>
              <w:rPr>
                <w:sz w:val="20"/>
                <w:szCs w:val="20"/>
                <w:color w:val="auto"/>
              </w:rPr>
            </w:pPr>
            <w:r>
              <w:rPr>
                <w:rFonts w:ascii="Times New Roman" w:cs="Times New Roman" w:eastAsia="Times New Roman" w:hAnsi="Times New Roman"/>
                <w:sz w:val="17"/>
                <w:szCs w:val="17"/>
                <w:color w:val="3051F2"/>
              </w:rPr>
              <w:t>Unregistered Sales of Equity Securities and Use of Proceeds</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90</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520" w:type="dxa"/>
            <w:vAlign w:val="bottom"/>
            <w:tcBorders>
              <w:top w:val="single" w:sz="8" w:color="3051F2"/>
              <w:bottom w:val="single" w:sz="8" w:color="3051F2"/>
            </w:tcBorders>
            <w:gridSpan w:val="4"/>
          </w:tcPr>
          <w:p>
            <w:pPr>
              <w:spacing w:after="0"/>
              <w:rPr>
                <w:sz w:val="20"/>
                <w:szCs w:val="20"/>
                <w:color w:val="auto"/>
              </w:rPr>
            </w:pPr>
            <w:r>
              <w:rPr>
                <w:rFonts w:ascii="Times New Roman" w:cs="Times New Roman" w:eastAsia="Times New Roman" w:hAnsi="Times New Roman"/>
                <w:sz w:val="17"/>
                <w:szCs w:val="17"/>
                <w:color w:val="3051F2"/>
              </w:rPr>
              <w:t>Item 3.</w:t>
            </w:r>
          </w:p>
        </w:tc>
        <w:tc>
          <w:tcPr>
            <w:tcW w:w="460" w:type="dxa"/>
            <w:vAlign w:val="bottom"/>
            <w:gridSpan w:val="3"/>
          </w:tcPr>
          <w:p>
            <w:pPr>
              <w:spacing w:after="0"/>
              <w:rPr>
                <w:sz w:val="20"/>
                <w:szCs w:val="20"/>
                <w:color w:val="auto"/>
              </w:rPr>
            </w:pPr>
          </w:p>
        </w:tc>
        <w:tc>
          <w:tcPr>
            <w:tcW w:w="2220" w:type="dxa"/>
            <w:vAlign w:val="bottom"/>
            <w:tcBorders>
              <w:top w:val="single" w:sz="8" w:color="3051F2"/>
              <w:bottom w:val="single" w:sz="8" w:color="3051F2"/>
            </w:tcBorders>
            <w:gridSpan w:val="8"/>
          </w:tcPr>
          <w:p>
            <w:pPr>
              <w:spacing w:after="0"/>
              <w:rPr>
                <w:sz w:val="20"/>
                <w:szCs w:val="20"/>
                <w:color w:val="auto"/>
              </w:rPr>
            </w:pPr>
            <w:r>
              <w:rPr>
                <w:rFonts w:ascii="Times New Roman" w:cs="Times New Roman" w:eastAsia="Times New Roman" w:hAnsi="Times New Roman"/>
                <w:sz w:val="17"/>
                <w:szCs w:val="17"/>
                <w:color w:val="3051F2"/>
              </w:rPr>
              <w:t>Defaults Upon Senior Securities</w:t>
            </w:r>
          </w:p>
        </w:tc>
        <w:tc>
          <w:tcPr>
            <w:tcW w:w="1920" w:type="dxa"/>
            <w:vAlign w:val="bottom"/>
            <w:tcBorders>
              <w:top w:val="single" w:sz="8" w:color="3051F2"/>
            </w:tcBorders>
          </w:tcPr>
          <w:p>
            <w:pPr>
              <w:spacing w:after="0"/>
              <w:rPr>
                <w:sz w:val="20"/>
                <w:szCs w:val="20"/>
                <w:color w:val="auto"/>
              </w:rPr>
            </w:pPr>
          </w:p>
        </w:tc>
        <w:tc>
          <w:tcPr>
            <w:tcW w:w="4220" w:type="dxa"/>
            <w:vAlign w:val="bottom"/>
            <w:gridSpan w:val="3"/>
          </w:tcPr>
          <w:p>
            <w:pPr>
              <w:spacing w:after="0"/>
              <w:rPr>
                <w:sz w:val="20"/>
                <w:szCs w:val="20"/>
                <w:color w:val="auto"/>
              </w:rPr>
            </w:pP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90</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7"/>
                <w:szCs w:val="17"/>
                <w:color w:val="3051F2"/>
              </w:rPr>
              <w:t>Item 4.</w:t>
            </w:r>
          </w:p>
        </w:tc>
        <w:tc>
          <w:tcPr>
            <w:tcW w:w="460" w:type="dxa"/>
            <w:vAlign w:val="bottom"/>
            <w:gridSpan w:val="3"/>
          </w:tcPr>
          <w:p>
            <w:pPr>
              <w:spacing w:after="0"/>
              <w:rPr>
                <w:sz w:val="20"/>
                <w:szCs w:val="20"/>
                <w:color w:val="auto"/>
              </w:rPr>
            </w:pPr>
          </w:p>
        </w:tc>
        <w:tc>
          <w:tcPr>
            <w:tcW w:w="8360" w:type="dxa"/>
            <w:vAlign w:val="bottom"/>
            <w:gridSpan w:val="12"/>
          </w:tcPr>
          <w:p>
            <w:pPr>
              <w:spacing w:after="0"/>
              <w:rPr>
                <w:sz w:val="20"/>
                <w:szCs w:val="20"/>
                <w:color w:val="auto"/>
              </w:rPr>
            </w:pPr>
            <w:r>
              <w:rPr>
                <w:rFonts w:ascii="Times New Roman" w:cs="Times New Roman" w:eastAsia="Times New Roman" w:hAnsi="Times New Roman"/>
                <w:sz w:val="17"/>
                <w:szCs w:val="17"/>
                <w:color w:val="3051F2"/>
              </w:rPr>
              <w:t>Mine Safety Disclosures</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90</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520" w:type="dxa"/>
            <w:vAlign w:val="bottom"/>
            <w:tcBorders>
              <w:top w:val="single" w:sz="8" w:color="3051F2"/>
              <w:bottom w:val="single" w:sz="8" w:color="3051F2"/>
            </w:tcBorders>
            <w:gridSpan w:val="4"/>
          </w:tcPr>
          <w:p>
            <w:pPr>
              <w:spacing w:after="0"/>
              <w:rPr>
                <w:sz w:val="20"/>
                <w:szCs w:val="20"/>
                <w:color w:val="auto"/>
              </w:rPr>
            </w:pPr>
            <w:r>
              <w:rPr>
                <w:rFonts w:ascii="Times New Roman" w:cs="Times New Roman" w:eastAsia="Times New Roman" w:hAnsi="Times New Roman"/>
                <w:sz w:val="17"/>
                <w:szCs w:val="17"/>
                <w:color w:val="3051F2"/>
              </w:rPr>
              <w:t>Item 5.</w:t>
            </w:r>
          </w:p>
        </w:tc>
        <w:tc>
          <w:tcPr>
            <w:tcW w:w="460" w:type="dxa"/>
            <w:vAlign w:val="bottom"/>
            <w:gridSpan w:val="3"/>
          </w:tcPr>
          <w:p>
            <w:pPr>
              <w:spacing w:after="0"/>
              <w:rPr>
                <w:sz w:val="20"/>
                <w:szCs w:val="20"/>
                <w:color w:val="auto"/>
              </w:rPr>
            </w:pPr>
          </w:p>
        </w:tc>
        <w:tc>
          <w:tcPr>
            <w:tcW w:w="1260" w:type="dxa"/>
            <w:vAlign w:val="bottom"/>
            <w:tcBorders>
              <w:top w:val="single" w:sz="8" w:color="3051F2"/>
              <w:bottom w:val="single" w:sz="8" w:color="3051F2"/>
            </w:tcBorders>
            <w:gridSpan w:val="4"/>
          </w:tcPr>
          <w:p>
            <w:pPr>
              <w:spacing w:after="0"/>
              <w:rPr>
                <w:sz w:val="20"/>
                <w:szCs w:val="20"/>
                <w:color w:val="auto"/>
              </w:rPr>
            </w:pPr>
            <w:r>
              <w:rPr>
                <w:rFonts w:ascii="Times New Roman" w:cs="Times New Roman" w:eastAsia="Times New Roman" w:hAnsi="Times New Roman"/>
                <w:sz w:val="17"/>
                <w:szCs w:val="17"/>
                <w:color w:val="3051F2"/>
                <w:w w:val="99"/>
              </w:rPr>
              <w:t>Other Information</w:t>
            </w:r>
          </w:p>
        </w:tc>
        <w:tc>
          <w:tcPr>
            <w:tcW w:w="420" w:type="dxa"/>
            <w:vAlign w:val="bottom"/>
            <w:tcBorders>
              <w:top w:val="single" w:sz="8" w:color="3051F2"/>
            </w:tcBorders>
            <w:gridSpan w:val="3"/>
          </w:tcPr>
          <w:p>
            <w:pPr>
              <w:spacing w:after="0"/>
              <w:rPr>
                <w:sz w:val="20"/>
                <w:szCs w:val="20"/>
                <w:color w:val="auto"/>
              </w:rPr>
            </w:pPr>
          </w:p>
        </w:tc>
        <w:tc>
          <w:tcPr>
            <w:tcW w:w="6680" w:type="dxa"/>
            <w:vAlign w:val="bottom"/>
            <w:gridSpan w:val="5"/>
          </w:tcPr>
          <w:p>
            <w:pPr>
              <w:spacing w:after="0"/>
              <w:rPr>
                <w:sz w:val="20"/>
                <w:szCs w:val="20"/>
                <w:color w:val="auto"/>
              </w:rPr>
            </w:pP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90</w:t>
            </w:r>
          </w:p>
        </w:tc>
        <w:tc>
          <w:tcPr>
            <w:tcW w:w="100" w:type="dxa"/>
            <w:vAlign w:val="bottom"/>
          </w:tcPr>
          <w:p>
            <w:pPr>
              <w:spacing w:after="0"/>
              <w:rPr>
                <w:sz w:val="20"/>
                <w:szCs w:val="20"/>
                <w:color w:val="auto"/>
              </w:rPr>
            </w:pPr>
          </w:p>
        </w:tc>
      </w:tr>
      <w:tr>
        <w:trPr>
          <w:trHeight w:val="238"/>
        </w:trPr>
        <w:tc>
          <w:tcPr>
            <w:tcW w:w="320" w:type="dxa"/>
            <w:vAlign w:val="bottom"/>
          </w:tcPr>
          <w:p>
            <w:pPr>
              <w:spacing w:after="0"/>
              <w:rPr>
                <w:sz w:val="20"/>
                <w:szCs w:val="2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7"/>
                <w:szCs w:val="17"/>
                <w:color w:val="3051F2"/>
              </w:rPr>
              <w:t>Item 6.</w:t>
            </w:r>
          </w:p>
        </w:tc>
        <w:tc>
          <w:tcPr>
            <w:tcW w:w="460" w:type="dxa"/>
            <w:vAlign w:val="bottom"/>
            <w:gridSpan w:val="3"/>
          </w:tcPr>
          <w:p>
            <w:pPr>
              <w:spacing w:after="0"/>
              <w:rPr>
                <w:sz w:val="20"/>
                <w:szCs w:val="20"/>
                <w:color w:val="auto"/>
              </w:rPr>
            </w:pPr>
          </w:p>
        </w:tc>
        <w:tc>
          <w:tcPr>
            <w:tcW w:w="8360" w:type="dxa"/>
            <w:vAlign w:val="bottom"/>
            <w:gridSpan w:val="12"/>
          </w:tcPr>
          <w:p>
            <w:pPr>
              <w:spacing w:after="0"/>
              <w:rPr>
                <w:sz w:val="20"/>
                <w:szCs w:val="20"/>
                <w:color w:val="auto"/>
              </w:rPr>
            </w:pPr>
            <w:r>
              <w:rPr>
                <w:rFonts w:ascii="Times New Roman" w:cs="Times New Roman" w:eastAsia="Times New Roman" w:hAnsi="Times New Roman"/>
                <w:sz w:val="17"/>
                <w:szCs w:val="17"/>
                <w:color w:val="3051F2"/>
              </w:rPr>
              <w:t>Exhibits</w:t>
            </w: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91</w:t>
            </w:r>
          </w:p>
        </w:tc>
        <w:tc>
          <w:tcPr>
            <w:tcW w:w="100" w:type="dxa"/>
            <w:vAlign w:val="bottom"/>
          </w:tcPr>
          <w:p>
            <w:pPr>
              <w:spacing w:after="0"/>
              <w:rPr>
                <w:sz w:val="20"/>
                <w:szCs w:val="20"/>
                <w:color w:val="auto"/>
              </w:rPr>
            </w:pPr>
          </w:p>
        </w:tc>
      </w:tr>
      <w:tr>
        <w:trPr>
          <w:trHeight w:val="20"/>
        </w:trPr>
        <w:tc>
          <w:tcPr>
            <w:tcW w:w="320" w:type="dxa"/>
            <w:vAlign w:val="bottom"/>
          </w:tcPr>
          <w:p>
            <w:pPr>
              <w:spacing w:after="0" w:line="20" w:lineRule="exact"/>
              <w:rPr>
                <w:sz w:val="1"/>
                <w:szCs w:val="1"/>
                <w:color w:val="auto"/>
              </w:rPr>
            </w:pPr>
          </w:p>
        </w:tc>
        <w:tc>
          <w:tcPr>
            <w:tcW w:w="520" w:type="dxa"/>
            <w:vAlign w:val="bottom"/>
            <w:gridSpan w:val="4"/>
            <w:shd w:val="clear" w:color="auto" w:fill="3051F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980" w:type="dxa"/>
            <w:vAlign w:val="bottom"/>
            <w:gridSpan w:val="7"/>
          </w:tcPr>
          <w:p>
            <w:pPr>
              <w:spacing w:after="0"/>
              <w:rPr>
                <w:sz w:val="20"/>
                <w:szCs w:val="20"/>
                <w:color w:val="auto"/>
              </w:rPr>
            </w:pPr>
            <w:r>
              <w:rPr>
                <w:rFonts w:ascii="Times New Roman" w:cs="Times New Roman" w:eastAsia="Times New Roman" w:hAnsi="Times New Roman"/>
                <w:sz w:val="17"/>
                <w:szCs w:val="17"/>
                <w:color w:val="3051F2"/>
              </w:rPr>
              <w:t>Signatures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58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92</w:t>
            </w:r>
          </w:p>
        </w:tc>
        <w:tc>
          <w:tcPr>
            <w:tcW w:w="100" w:type="dxa"/>
            <w:vAlign w:val="bottom"/>
          </w:tcPr>
          <w:p>
            <w:pPr>
              <w:spacing w:after="0"/>
              <w:rPr>
                <w:sz w:val="20"/>
                <w:szCs w:val="20"/>
                <w:color w:val="auto"/>
              </w:rPr>
            </w:pPr>
          </w:p>
        </w:tc>
      </w:tr>
      <w:tr>
        <w:trPr>
          <w:trHeight w:val="1120"/>
        </w:trPr>
        <w:tc>
          <w:tcPr>
            <w:tcW w:w="320" w:type="dxa"/>
            <w:vAlign w:val="bottom"/>
            <w:tcBorders>
              <w:bottom w:val="single" w:sz="8" w:color="9A9A9A"/>
            </w:tcBorders>
          </w:tcPr>
          <w:p>
            <w:pPr>
              <w:spacing w:after="0"/>
              <w:rPr>
                <w:sz w:val="24"/>
                <w:szCs w:val="24"/>
                <w:color w:val="auto"/>
              </w:rPr>
            </w:pPr>
          </w:p>
        </w:tc>
        <w:tc>
          <w:tcPr>
            <w:tcW w:w="38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60" w:type="dxa"/>
            <w:vAlign w:val="bottom"/>
            <w:tcBorders>
              <w:top w:val="single" w:sz="8" w:color="3051F2"/>
              <w:bottom w:val="single" w:sz="8" w:color="9A9A9A"/>
            </w:tcBorders>
          </w:tcPr>
          <w:p>
            <w:pPr>
              <w:spacing w:after="0"/>
              <w:rPr>
                <w:sz w:val="24"/>
                <w:szCs w:val="24"/>
                <w:color w:val="auto"/>
              </w:rPr>
            </w:pPr>
          </w:p>
        </w:tc>
        <w:tc>
          <w:tcPr>
            <w:tcW w:w="20" w:type="dxa"/>
            <w:vAlign w:val="bottom"/>
            <w:tcBorders>
              <w:top w:val="single" w:sz="8" w:color="3051F2"/>
              <w:bottom w:val="single" w:sz="8" w:color="9A9A9A"/>
            </w:tcBorders>
          </w:tcPr>
          <w:p>
            <w:pPr>
              <w:spacing w:after="0"/>
              <w:rPr>
                <w:sz w:val="24"/>
                <w:szCs w:val="24"/>
                <w:color w:val="auto"/>
              </w:rPr>
            </w:pPr>
          </w:p>
        </w:tc>
        <w:tc>
          <w:tcPr>
            <w:tcW w:w="100" w:type="dxa"/>
            <w:vAlign w:val="bottom"/>
            <w:tcBorders>
              <w:top w:val="single" w:sz="8" w:color="3051F2"/>
              <w:bottom w:val="single" w:sz="8" w:color="9A9A9A"/>
            </w:tcBorders>
          </w:tcPr>
          <w:p>
            <w:pPr>
              <w:spacing w:after="0"/>
              <w:rPr>
                <w:sz w:val="24"/>
                <w:szCs w:val="24"/>
                <w:color w:val="auto"/>
              </w:rPr>
            </w:pPr>
          </w:p>
        </w:tc>
        <w:tc>
          <w:tcPr>
            <w:tcW w:w="120" w:type="dxa"/>
            <w:vAlign w:val="bottom"/>
            <w:tcBorders>
              <w:top w:val="single" w:sz="8" w:color="3051F2"/>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5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95"/>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947"/>
        </w:trPr>
        <w:tc>
          <w:tcPr>
            <w:tcW w:w="1220" w:type="dxa"/>
            <w:vAlign w:val="bottom"/>
            <w:tcBorders>
              <w:top w:val="single" w:sz="8" w:color="0000FF"/>
            </w:tcBorders>
          </w:tcPr>
          <w:p>
            <w:pPr>
              <w:spacing w:after="0"/>
              <w:rPr>
                <w:sz w:val="24"/>
                <w:szCs w:val="24"/>
                <w:color w:val="auto"/>
              </w:rPr>
            </w:pPr>
          </w:p>
        </w:tc>
        <w:tc>
          <w:tcPr>
            <w:tcW w:w="646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Part I - Financial Information</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66"/>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w:t>
            </w: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46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Neurogene Inc.</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46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46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460" w:type="dxa"/>
            <w:vAlign w:val="bottom"/>
          </w:tcPr>
          <w:p>
            <w:pPr>
              <w:jc w:val="center"/>
              <w:ind w:left="193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05"/>
        </w:trPr>
        <w:tc>
          <w:tcPr>
            <w:tcW w:w="12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24"/>
                <w:szCs w:val="24"/>
                <w:color w:val="auto"/>
              </w:rPr>
            </w:pPr>
          </w:p>
        </w:tc>
        <w:tc>
          <w:tcPr>
            <w:tcW w:w="134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12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76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32"/>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124,161</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103,845</w:t>
            </w: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Short-term investments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119,021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165,168</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w:t>
            </w:r>
          </w:p>
        </w:tc>
      </w:tr>
      <w:tr>
        <w:trPr>
          <w:trHeight w:val="225"/>
        </w:trPr>
        <w:tc>
          <w:tcPr>
            <w:tcW w:w="76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246,747</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271,770</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12,792</w:t>
            </w: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2,648</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Finance lease right-of-use assets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w:t>
            </w:r>
          </w:p>
        </w:tc>
      </w:tr>
      <w:tr>
        <w:trPr>
          <w:trHeight w:val="225"/>
        </w:trPr>
        <w:tc>
          <w:tcPr>
            <w:tcW w:w="76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263,141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288,604</w:t>
            </w:r>
          </w:p>
        </w:tc>
      </w:tr>
      <w:tr>
        <w:trPr>
          <w:trHeight w:val="25"/>
        </w:trPr>
        <w:tc>
          <w:tcPr>
            <w:tcW w:w="768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4"/>
        </w:trPr>
        <w:tc>
          <w:tcPr>
            <w:tcW w:w="1220" w:type="dxa"/>
            <w:vAlign w:val="bottom"/>
            <w:shd w:val="clear" w:color="auto" w:fill="CCEEFF"/>
          </w:tcPr>
          <w:p>
            <w:pPr>
              <w:spacing w:after="0"/>
              <w:rPr>
                <w:sz w:val="19"/>
                <w:szCs w:val="19"/>
                <w:color w:val="auto"/>
              </w:rPr>
            </w:pPr>
          </w:p>
        </w:tc>
        <w:tc>
          <w:tcPr>
            <w:tcW w:w="6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2"/>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4,685</w:t>
            </w: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1,953</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10,756</w:t>
            </w: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lease liabilities, current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3,050</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Finance lease liabilities, current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Contingent value rights liability, current</w:t>
            </w:r>
          </w:p>
        </w:tc>
        <w:tc>
          <w:tcPr>
            <w:tcW w:w="2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r>
      <w:tr>
        <w:trPr>
          <w:trHeight w:val="25"/>
        </w:trPr>
        <w:tc>
          <w:tcPr>
            <w:tcW w:w="76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1"/>
        </w:trPr>
        <w:tc>
          <w:tcPr>
            <w:tcW w:w="76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16,411</w:t>
            </w: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Operating lease liabilities, non-current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6,822</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Finance lease liabilities, non-current</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32"/>
        </w:trPr>
        <w:tc>
          <w:tcPr>
            <w:tcW w:w="768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Contingent value rights liability, non-current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8"/>
        </w:trPr>
        <w:tc>
          <w:tcPr>
            <w:tcW w:w="768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w:t>
            </w:r>
          </w:p>
        </w:tc>
      </w:tr>
      <w:tr>
        <w:trPr>
          <w:trHeight w:val="225"/>
        </w:trPr>
        <w:tc>
          <w:tcPr>
            <w:tcW w:w="76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25,358</w:t>
            </w: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23,717</w:t>
            </w:r>
          </w:p>
        </w:tc>
      </w:tr>
      <w:tr>
        <w:trPr>
          <w:trHeight w:val="25"/>
        </w:trPr>
        <w:tc>
          <w:tcPr>
            <w:tcW w:w="76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7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 - Note 9</w:t>
            </w:r>
          </w:p>
        </w:tc>
        <w:tc>
          <w:tcPr>
            <w:tcW w:w="2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r>
      <w:tr>
        <w:trPr>
          <w:trHeight w:val="232"/>
        </w:trPr>
        <w:tc>
          <w:tcPr>
            <w:tcW w:w="76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16"/>
        </w:trPr>
        <w:tc>
          <w:tcPr>
            <w:tcW w:w="7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Preferred stock, $0.000001 par value; 50,000,000 shares authorized as of March 31, 2026 and December 31,</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8"/>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2025; 0 shares issued and outstanding as of March 31, 2026 and December 31, 2025,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6"/>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Common stock, $0.000001 par value; 450,000,000 shares authorized as of March 31, 2026 and</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6"/>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December 31, 2025; 15,615,786 and 15,489,800 shares issued and outstanding as of March 31, 2026 and</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3"/>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December 31, 2025, respectively</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6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8"/>
        </w:trPr>
        <w:tc>
          <w:tcPr>
            <w:tcW w:w="7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621,366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617,536</w:t>
            </w:r>
          </w:p>
        </w:tc>
      </w:tr>
      <w:tr>
        <w:trPr>
          <w:trHeight w:val="232"/>
        </w:trPr>
        <w:tc>
          <w:tcPr>
            <w:tcW w:w="76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(383,583)</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(352,649)</w:t>
            </w:r>
          </w:p>
        </w:tc>
      </w:tr>
      <w:tr>
        <w:trPr>
          <w:trHeight w:val="25"/>
        </w:trPr>
        <w:tc>
          <w:tcPr>
            <w:tcW w:w="768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1"/>
        </w:trPr>
        <w:tc>
          <w:tcPr>
            <w:tcW w:w="768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237,783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264,887</w:t>
            </w:r>
          </w:p>
        </w:tc>
      </w:tr>
      <w:tr>
        <w:trPr>
          <w:trHeight w:val="225"/>
        </w:trPr>
        <w:tc>
          <w:tcPr>
            <w:tcW w:w="7680" w:type="dxa"/>
            <w:vAlign w:val="bottom"/>
            <w:gridSpan w:val="2"/>
          </w:tcPr>
          <w:p>
            <w:pPr>
              <w:ind w:left="48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6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263,141</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288,604</w:t>
            </w:r>
          </w:p>
        </w:tc>
      </w:tr>
      <w:tr>
        <w:trPr>
          <w:trHeight w:val="25"/>
        </w:trPr>
        <w:tc>
          <w:tcPr>
            <w:tcW w:w="12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ectPr>
          <w:pgSz w:w="11900" w:h="16838" w:orient="portrait"/>
          <w:cols w:equalWidth="0" w:num="1">
            <w:col w:w="10820"/>
          </w:cols>
          <w:pgMar w:left="640" w:top="537" w:right="4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69850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640" w:top="537" w:right="4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759"/>
        </w:trPr>
        <w:tc>
          <w:tcPr>
            <w:tcW w:w="1220" w:type="dxa"/>
            <w:vAlign w:val="bottom"/>
            <w:tcBorders>
              <w:top w:val="single" w:sz="8" w:color="0000FF"/>
            </w:tcBorders>
          </w:tcPr>
          <w:p>
            <w:pPr>
              <w:spacing w:after="0"/>
              <w:rPr>
                <w:sz w:val="24"/>
                <w:szCs w:val="24"/>
                <w:color w:val="auto"/>
              </w:rPr>
            </w:pPr>
          </w:p>
        </w:tc>
        <w:tc>
          <w:tcPr>
            <w:tcW w:w="6780" w:type="dxa"/>
            <w:vAlign w:val="bottom"/>
          </w:tcPr>
          <w:p>
            <w:pPr>
              <w:jc w:val="center"/>
              <w:ind w:left="1614"/>
              <w:spacing w:after="0"/>
              <w:rPr>
                <w:sz w:val="20"/>
                <w:szCs w:val="20"/>
                <w:color w:val="auto"/>
              </w:rPr>
            </w:pPr>
            <w:r>
              <w:rPr>
                <w:rFonts w:ascii="Times New Roman" w:cs="Times New Roman" w:eastAsia="Times New Roman" w:hAnsi="Times New Roman"/>
                <w:sz w:val="17"/>
                <w:szCs w:val="17"/>
                <w:b w:val="1"/>
                <w:bCs w:val="1"/>
                <w:color w:val="auto"/>
              </w:rPr>
              <w:t>Neurogene Inc.</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614"/>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6780" w:type="dxa"/>
            <w:vAlign w:val="bottom"/>
          </w:tcPr>
          <w:p>
            <w:pPr>
              <w:jc w:val="center"/>
              <w:ind w:left="1614"/>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Amounts)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6780" w:type="dxa"/>
            <w:vAlign w:val="bottom"/>
          </w:tcPr>
          <w:p>
            <w:pPr>
              <w:jc w:val="center"/>
              <w:ind w:left="16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05"/>
        </w:trPr>
        <w:tc>
          <w:tcPr>
            <w:tcW w:w="122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4"/>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Three Months Ended</w:t>
            </w:r>
          </w:p>
        </w:tc>
      </w:tr>
      <w:tr>
        <w:trPr>
          <w:trHeight w:val="227"/>
        </w:trPr>
        <w:tc>
          <w:tcPr>
            <w:tcW w:w="12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940" w:type="dxa"/>
            <w:vAlign w:val="bottom"/>
          </w:tcPr>
          <w:p>
            <w:pPr>
              <w:spacing w:after="0"/>
              <w:rPr>
                <w:sz w:val="19"/>
                <w:szCs w:val="19"/>
                <w:color w:val="auto"/>
              </w:rPr>
            </w:pPr>
          </w:p>
        </w:tc>
      </w:tr>
      <w:tr>
        <w:trPr>
          <w:trHeight w:val="25"/>
        </w:trPr>
        <w:tc>
          <w:tcPr>
            <w:tcW w:w="1220" w:type="dxa"/>
            <w:vAlign w:val="bottom"/>
          </w:tcPr>
          <w:p>
            <w:pPr>
              <w:spacing w:after="0"/>
              <w:rPr>
                <w:sz w:val="2"/>
                <w:szCs w:val="2"/>
                <w:color w:val="auto"/>
              </w:rPr>
            </w:pPr>
          </w:p>
        </w:tc>
        <w:tc>
          <w:tcPr>
            <w:tcW w:w="6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5"/>
        </w:trPr>
        <w:tc>
          <w:tcPr>
            <w:tcW w:w="122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80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8"/>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232"/>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25,150</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17,760</w:t>
            </w:r>
          </w:p>
        </w:tc>
      </w:tr>
      <w:tr>
        <w:trPr>
          <w:trHeight w:val="25"/>
        </w:trPr>
        <w:tc>
          <w:tcPr>
            <w:tcW w:w="8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8"/>
        </w:trPr>
        <w:tc>
          <w:tcPr>
            <w:tcW w:w="8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8,159</w:t>
            </w:r>
          </w:p>
        </w:tc>
      </w:tr>
      <w:tr>
        <w:trPr>
          <w:trHeight w:val="225"/>
        </w:trPr>
        <w:tc>
          <w:tcPr>
            <w:tcW w:w="80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33,349</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25,919</w:t>
            </w:r>
          </w:p>
        </w:tc>
      </w:tr>
      <w:tr>
        <w:trPr>
          <w:trHeight w:val="25"/>
        </w:trPr>
        <w:tc>
          <w:tcPr>
            <w:tcW w:w="80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800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Loss from operations</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(25,919)</w:t>
            </w:r>
          </w:p>
        </w:tc>
      </w:tr>
      <w:tr>
        <w:trPr>
          <w:trHeight w:val="232"/>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
        </w:trPr>
        <w:tc>
          <w:tcPr>
            <w:tcW w:w="8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8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r>
      <w:tr>
        <w:trPr>
          <w:trHeight w:val="232"/>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80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38"/>
        </w:trPr>
        <w:tc>
          <w:tcPr>
            <w:tcW w:w="80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r>
      <w:tr>
        <w:trPr>
          <w:trHeight w:val="232"/>
        </w:trPr>
        <w:tc>
          <w:tcPr>
            <w:tcW w:w="80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Other expense</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25"/>
        </w:trPr>
        <w:tc>
          <w:tcPr>
            <w:tcW w:w="80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7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(22,647)</w:t>
            </w:r>
          </w:p>
        </w:tc>
      </w:tr>
      <w:tr>
        <w:trPr>
          <w:trHeight w:val="20"/>
        </w:trPr>
        <w:tc>
          <w:tcPr>
            <w:tcW w:w="80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52"/>
        </w:trPr>
        <w:tc>
          <w:tcPr>
            <w:tcW w:w="1220" w:type="dxa"/>
            <w:vAlign w:val="bottom"/>
          </w:tcPr>
          <w:p>
            <w:pPr>
              <w:spacing w:after="0"/>
              <w:rPr>
                <w:sz w:val="13"/>
                <w:szCs w:val="13"/>
                <w:color w:val="auto"/>
              </w:rPr>
            </w:pPr>
          </w:p>
        </w:tc>
        <w:tc>
          <w:tcPr>
            <w:tcW w:w="6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38"/>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 share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2"/>
        </w:trPr>
        <w:tc>
          <w:tcPr>
            <w:tcW w:w="80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per share, basic and diluted</w:t>
            </w: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20"/>
                <w:szCs w:val="20"/>
                <w:color w:val="auto"/>
              </w:rPr>
            </w:pPr>
          </w:p>
        </w:tc>
        <w:tc>
          <w:tcPr>
            <w:tcW w:w="42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5"/>
        </w:trPr>
        <w:tc>
          <w:tcPr>
            <w:tcW w:w="8000" w:type="dxa"/>
            <w:vAlign w:val="bottom"/>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shares of common stock outstanding, basic and 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22,305,734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20,996,287</w:t>
            </w:r>
          </w:p>
        </w:tc>
      </w:tr>
      <w:tr>
        <w:trPr>
          <w:trHeight w:val="25"/>
        </w:trPr>
        <w:tc>
          <w:tcPr>
            <w:tcW w:w="1220" w:type="dxa"/>
            <w:vAlign w:val="bottom"/>
            <w:shd w:val="clear" w:color="auto" w:fill="CCEEFF"/>
          </w:tcPr>
          <w:p>
            <w:pPr>
              <w:spacing w:after="0"/>
              <w:rPr>
                <w:sz w:val="2"/>
                <w:szCs w:val="2"/>
                <w:color w:val="auto"/>
              </w:rPr>
            </w:pPr>
          </w:p>
        </w:tc>
        <w:tc>
          <w:tcPr>
            <w:tcW w:w="67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69850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820"/>
          </w:cols>
          <w:pgMar w:left="640" w:top="537"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759"/>
        </w:trPr>
        <w:tc>
          <w:tcPr>
            <w:tcW w:w="1220" w:type="dxa"/>
            <w:vAlign w:val="bottom"/>
            <w:tcBorders>
              <w:top w:val="single" w:sz="8" w:color="0000FF"/>
            </w:tcBorders>
          </w:tcPr>
          <w:p>
            <w:pPr>
              <w:spacing w:after="0"/>
              <w:rPr>
                <w:sz w:val="24"/>
                <w:szCs w:val="24"/>
                <w:color w:val="auto"/>
              </w:rPr>
            </w:pPr>
          </w:p>
        </w:tc>
        <w:tc>
          <w:tcPr>
            <w:tcW w:w="3420" w:type="dxa"/>
            <w:vAlign w:val="bottom"/>
          </w:tcPr>
          <w:p>
            <w:pPr>
              <w:spacing w:after="0"/>
              <w:rPr>
                <w:sz w:val="24"/>
                <w:szCs w:val="24"/>
                <w:color w:val="auto"/>
              </w:rPr>
            </w:pPr>
          </w:p>
        </w:tc>
        <w:tc>
          <w:tcPr>
            <w:tcW w:w="1440" w:type="dxa"/>
            <w:vAlign w:val="bottom"/>
            <w:gridSpan w:val="3"/>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Neurogene Inc.</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120" w:type="dxa"/>
            <w:vAlign w:val="bottom"/>
            <w:gridSpan w:val="9"/>
          </w:tcPr>
          <w:p>
            <w:pPr>
              <w:jc w:val="center"/>
              <w:ind w:left="1274"/>
              <w:spacing w:after="0"/>
              <w:rPr>
                <w:sz w:val="20"/>
                <w:szCs w:val="20"/>
                <w:color w:val="auto"/>
              </w:rPr>
            </w:pPr>
            <w:r>
              <w:rPr>
                <w:rFonts w:ascii="Times New Roman" w:cs="Times New Roman" w:eastAsia="Times New Roman" w:hAnsi="Times New Roman"/>
                <w:sz w:val="17"/>
                <w:szCs w:val="17"/>
                <w:b w:val="1"/>
                <w:bCs w:val="1"/>
                <w:color w:val="auto"/>
              </w:rPr>
              <w:t>Condensed Consolidated Statement of Stockholders’ Equity</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5880" w:type="dxa"/>
            <w:vAlign w:val="bottom"/>
            <w:gridSpan w:val="6"/>
          </w:tcPr>
          <w:p>
            <w:pPr>
              <w:jc w:val="center"/>
              <w:ind w:left="2514"/>
              <w:spacing w:after="0"/>
              <w:rPr>
                <w:sz w:val="20"/>
                <w:szCs w:val="20"/>
                <w:color w:val="auto"/>
              </w:rPr>
            </w:pPr>
            <w:r>
              <w:rPr>
                <w:rFonts w:ascii="Times New Roman" w:cs="Times New Roman" w:eastAsia="Times New Roman" w:hAnsi="Times New Roman"/>
                <w:sz w:val="17"/>
                <w:szCs w:val="17"/>
                <w:b w:val="1"/>
                <w:bCs w:val="1"/>
                <w:color w:val="auto"/>
              </w:rPr>
              <w:t>(In Thousands, Except Share Information)</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7"/>
        </w:trPr>
        <w:tc>
          <w:tcPr>
            <w:tcW w:w="1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40" w:type="dxa"/>
            <w:vAlign w:val="bottom"/>
            <w:gridSpan w:val="3"/>
          </w:tcPr>
          <w:p>
            <w:pPr>
              <w:jc w:val="center"/>
              <w:ind w:left="114"/>
              <w:spacing w:after="0"/>
              <w:rPr>
                <w:sz w:val="20"/>
                <w:szCs w:val="20"/>
                <w:color w:val="auto"/>
              </w:rPr>
            </w:pPr>
            <w:r>
              <w:rPr>
                <w:rFonts w:ascii="Times New Roman" w:cs="Times New Roman" w:eastAsia="Times New Roman" w:hAnsi="Times New Roman"/>
                <w:sz w:val="17"/>
                <w:szCs w:val="17"/>
                <w:b w:val="1"/>
                <w:bCs w:val="1"/>
                <w:color w:val="auto"/>
              </w:rPr>
              <w:t>(Unaudited)</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405"/>
        </w:trPr>
        <w:tc>
          <w:tcPr>
            <w:tcW w:w="1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6"/>
        </w:trPr>
        <w:tc>
          <w:tcPr>
            <w:tcW w:w="1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Stockholders'</w:t>
            </w:r>
          </w:p>
        </w:tc>
      </w:tr>
      <w:tr>
        <w:trPr>
          <w:trHeight w:val="227"/>
        </w:trPr>
        <w:tc>
          <w:tcPr>
            <w:tcW w:w="1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60" w:type="dxa"/>
            <w:vAlign w:val="bottom"/>
            <w:gridSpan w:val="5"/>
          </w:tcPr>
          <w:p>
            <w:pPr>
              <w:ind w:left="6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6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200" w:type="dxa"/>
            <w:vAlign w:val="bottom"/>
          </w:tcPr>
          <w:p>
            <w:pPr>
              <w:spacing w:after="0"/>
              <w:rPr>
                <w:sz w:val="19"/>
                <w:szCs w:val="19"/>
                <w:color w:val="auto"/>
              </w:rPr>
            </w:pPr>
          </w:p>
        </w:tc>
        <w:tc>
          <w:tcPr>
            <w:tcW w:w="9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5"/>
        </w:trPr>
        <w:tc>
          <w:tcPr>
            <w:tcW w:w="1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1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5"/>
        </w:trPr>
        <w:tc>
          <w:tcPr>
            <w:tcW w:w="464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2025</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15,489,800</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617,536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(352,649)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264,887</w:t>
            </w:r>
          </w:p>
        </w:tc>
      </w:tr>
      <w:tr>
        <w:trPr>
          <w:trHeight w:val="232"/>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3,629</w:t>
            </w:r>
          </w:p>
        </w:tc>
      </w:tr>
      <w:tr>
        <w:trPr>
          <w:trHeight w:val="25"/>
        </w:trPr>
        <w:tc>
          <w:tcPr>
            <w:tcW w:w="4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8"/>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issued upon exercise of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w:t>
            </w:r>
          </w:p>
        </w:tc>
      </w:tr>
      <w:tr>
        <w:trPr>
          <w:trHeight w:val="232"/>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shares issued upon vesting of 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(30,934)</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(30,934)</w:t>
            </w:r>
          </w:p>
        </w:tc>
      </w:tr>
      <w:tr>
        <w:trPr>
          <w:trHeight w:val="251"/>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March 31, 2026</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15,615,786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621,366</w:t>
            </w:r>
          </w:p>
        </w:tc>
        <w:tc>
          <w:tcPr>
            <w:tcW w:w="8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(383,583)</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237,783</w:t>
            </w:r>
          </w:p>
        </w:tc>
      </w:tr>
      <w:tr>
        <w:trPr>
          <w:trHeight w:val="20"/>
        </w:trPr>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874"/>
        </w:trPr>
        <w:tc>
          <w:tcPr>
            <w:tcW w:w="1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6"/>
        </w:trPr>
        <w:tc>
          <w:tcPr>
            <w:tcW w:w="12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Paid-In</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Stockholders'</w:t>
            </w:r>
          </w:p>
        </w:tc>
      </w:tr>
      <w:tr>
        <w:trPr>
          <w:trHeight w:val="227"/>
        </w:trPr>
        <w:tc>
          <w:tcPr>
            <w:tcW w:w="1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460" w:type="dxa"/>
            <w:vAlign w:val="bottom"/>
            <w:gridSpan w:val="5"/>
          </w:tcPr>
          <w:p>
            <w:pPr>
              <w:ind w:left="6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60" w:type="dxa"/>
            <w:vAlign w:val="bottom"/>
          </w:tcPr>
          <w:p>
            <w:pPr>
              <w:spacing w:after="0"/>
              <w:rPr>
                <w:sz w:val="19"/>
                <w:szCs w:val="19"/>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Deficit</w:t>
            </w:r>
          </w:p>
        </w:tc>
        <w:tc>
          <w:tcPr>
            <w:tcW w:w="200" w:type="dxa"/>
            <w:vAlign w:val="bottom"/>
          </w:tcPr>
          <w:p>
            <w:pPr>
              <w:spacing w:after="0"/>
              <w:rPr>
                <w:sz w:val="19"/>
                <w:szCs w:val="19"/>
                <w:color w:val="auto"/>
              </w:rPr>
            </w:pPr>
          </w:p>
        </w:tc>
        <w:tc>
          <w:tcPr>
            <w:tcW w:w="960" w:type="dxa"/>
            <w:vAlign w:val="bottom"/>
          </w:tcPr>
          <w:p>
            <w:pPr>
              <w:jc w:val="center"/>
              <w:ind w:right="94"/>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5"/>
        </w:trPr>
        <w:tc>
          <w:tcPr>
            <w:tcW w:w="12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12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0" w:type="dxa"/>
            <w:vAlign w:val="bottom"/>
          </w:tcPr>
          <w:p>
            <w:pPr>
              <w:spacing w:after="0"/>
              <w:rPr>
                <w:sz w:val="19"/>
                <w:szCs w:val="19"/>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60" w:type="dxa"/>
            <w:vAlign w:val="bottom"/>
          </w:tcPr>
          <w:p>
            <w:pPr>
              <w:spacing w:after="0"/>
              <w:rPr>
                <w:sz w:val="19"/>
                <w:szCs w:val="19"/>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200" w:type="dxa"/>
            <w:vAlign w:val="bottom"/>
          </w:tcPr>
          <w:p>
            <w:pPr>
              <w:spacing w:after="0"/>
              <w:rPr>
                <w:sz w:val="19"/>
                <w:szCs w:val="19"/>
                <w:color w:val="auto"/>
              </w:rPr>
            </w:pPr>
          </w:p>
        </w:tc>
        <w:tc>
          <w:tcPr>
            <w:tcW w:w="960" w:type="dxa"/>
            <w:vAlign w:val="bottom"/>
          </w:tcPr>
          <w:p>
            <w:pPr>
              <w:jc w:val="center"/>
              <w:ind w:right="114"/>
              <w:spacing w:after="0"/>
              <w:rPr>
                <w:sz w:val="20"/>
                <w:szCs w:val="20"/>
                <w:color w:val="auto"/>
              </w:rPr>
            </w:pPr>
            <w:r>
              <w:rPr>
                <w:rFonts w:ascii="Times New Roman" w:cs="Times New Roman" w:eastAsia="Times New Roman" w:hAnsi="Times New Roman"/>
                <w:sz w:val="17"/>
                <w:szCs w:val="17"/>
                <w:b w:val="1"/>
                <w:bCs w:val="1"/>
                <w:color w:val="auto"/>
              </w:rPr>
              <w:t>Amount</w:t>
            </w:r>
          </w:p>
        </w:tc>
      </w:tr>
      <w:tr>
        <w:trPr>
          <w:trHeight w:val="25"/>
        </w:trPr>
        <w:tc>
          <w:tcPr>
            <w:tcW w:w="4640" w:type="dxa"/>
            <w:vAlign w:val="bottom"/>
            <w:tcBorders>
              <w:bottom w:val="single" w:sz="8" w:color="CCEEFF"/>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December 31, 2024</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14,854,725</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572,673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(262,298)</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310,375</w:t>
            </w:r>
          </w:p>
        </w:tc>
      </w:tr>
      <w:tr>
        <w:trPr>
          <w:trHeight w:val="232"/>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4,048</w:t>
            </w:r>
          </w:p>
        </w:tc>
      </w:tr>
      <w:tr>
        <w:trPr>
          <w:trHeight w:val="25"/>
        </w:trPr>
        <w:tc>
          <w:tcPr>
            <w:tcW w:w="464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8"/>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issued upon exercise of stock options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2"/>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 issued upon vesting of restricted stock units</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640" w:type="dxa"/>
            <w:vAlign w:val="bottom"/>
            <w:gridSpan w:val="2"/>
          </w:tcPr>
          <w:p>
            <w:pPr>
              <w:spacing w:after="0"/>
              <w:rPr>
                <w:sz w:val="2"/>
                <w:szCs w:val="2"/>
                <w:color w:val="auto"/>
              </w:rPr>
            </w:pPr>
          </w:p>
        </w:tc>
        <w:tc>
          <w:tcPr>
            <w:tcW w:w="12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46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(22,647)</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(22,647)</w:t>
            </w:r>
          </w:p>
        </w:tc>
      </w:tr>
      <w:tr>
        <w:trPr>
          <w:trHeight w:val="251"/>
        </w:trPr>
        <w:tc>
          <w:tcPr>
            <w:tcW w:w="46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Balance- March 31, 2025</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14,929,566</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576,740</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(284,945)</w:t>
            </w:r>
          </w:p>
        </w:tc>
        <w:tc>
          <w:tcPr>
            <w:tcW w:w="8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291,795</w:t>
            </w:r>
          </w:p>
        </w:tc>
      </w:tr>
      <w:tr>
        <w:trPr>
          <w:trHeight w:val="20"/>
        </w:trPr>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-213360</wp:posOffset>
            </wp:positionH>
            <wp:positionV relativeFrom="paragraph">
              <wp:posOffset>69850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740"/>
          </w:cols>
          <w:pgMar w:left="640" w:top="537" w:right="519" w:bottom="1440" w:gutter="0" w:footer="0" w:header="0"/>
        </w:sectPr>
      </w:pPr>
    </w:p>
    <w:bookmarkStart w:id="6" w:name="page7"/>
    <w:bookmarkEnd w:id="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Neurogene Inc.</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13"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5"/>
          <w:szCs w:val="15"/>
          <w:b w:val="1"/>
          <w:bCs w:val="1"/>
          <w:color w:val="auto"/>
        </w:rPr>
        <w:t>Three Months Ended</w:t>
      </w:r>
    </w:p>
    <w:p>
      <w:pPr>
        <w:spacing w:after="0" w:line="31"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5"/>
          <w:szCs w:val="15"/>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5069205</wp:posOffset>
            </wp:positionH>
            <wp:positionV relativeFrom="paragraph">
              <wp:posOffset>24765</wp:posOffset>
            </wp:positionV>
            <wp:extent cx="20713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71370" cy="8255"/>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5"/>
                <w:szCs w:val="15"/>
                <w:b w:val="1"/>
                <w:bCs w:val="1"/>
                <w:color w:val="auto"/>
              </w:rPr>
              <w:t>2025</w:t>
            </w:r>
          </w:p>
        </w:tc>
      </w:tr>
      <w:tr>
        <w:trPr>
          <w:trHeight w:val="21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Net loss</w:t>
            </w:r>
          </w:p>
        </w:tc>
        <w:tc>
          <w:tcPr>
            <w:tcW w:w="980" w:type="dxa"/>
            <w:vAlign w:val="bottom"/>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(30,934)</w:t>
            </w:r>
          </w:p>
        </w:tc>
        <w:tc>
          <w:tcPr>
            <w:tcW w:w="100" w:type="dxa"/>
            <w:vAlign w:val="bottom"/>
          </w:tcPr>
          <w:p>
            <w:pPr>
              <w:spacing w:after="0"/>
              <w:rPr>
                <w:sz w:val="19"/>
                <w:szCs w:val="19"/>
                <w:color w:val="auto"/>
              </w:rPr>
            </w:pPr>
          </w:p>
        </w:tc>
        <w:tc>
          <w:tcPr>
            <w:tcW w:w="36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(22,647)</w:t>
            </w:r>
          </w:p>
        </w:tc>
      </w:tr>
      <w:tr>
        <w:trPr>
          <w:trHeight w:val="24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4,048</w:t>
            </w:r>
          </w:p>
        </w:tc>
      </w:tr>
      <w:tr>
        <w:trPr>
          <w:trHeight w:val="241"/>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Depreciation and impairment of property and equipment</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749</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197</w:t>
            </w:r>
          </w:p>
        </w:tc>
      </w:tr>
      <w:tr>
        <w:trPr>
          <w:trHeight w:val="241"/>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Amortization of finance lease right-of-use assets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Amortization and accretion of premiums/discounts on held-to-maturity investments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(1,747)</w:t>
            </w:r>
          </w:p>
        </w:tc>
      </w:tr>
      <w:tr>
        <w:trPr>
          <w:trHeight w:val="241"/>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Change in contingent value rights liability</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(278)</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Other assets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241"/>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Accounts payable</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1,694</w:t>
            </w:r>
          </w:p>
        </w:tc>
      </w:tr>
      <w:tr>
        <w:trPr>
          <w:trHeight w:val="223"/>
        </w:trPr>
        <w:tc>
          <w:tcPr>
            <w:tcW w:w="79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(2,203)</w:t>
            </w:r>
          </w:p>
        </w:tc>
      </w:tr>
      <w:tr>
        <w:trPr>
          <w:trHeight w:val="241"/>
        </w:trPr>
        <w:tc>
          <w:tcPr>
            <w:tcW w:w="7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9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(755)</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(706)</w:t>
            </w:r>
          </w:p>
        </w:tc>
      </w:tr>
      <w:tr>
        <w:trPr>
          <w:trHeight w:val="216"/>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(26,119)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(20,774)</w:t>
            </w:r>
          </w:p>
        </w:tc>
      </w:tr>
      <w:tr>
        <w:trPr>
          <w:trHeight w:val="24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Investing activities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3"/>
        </w:trPr>
        <w:tc>
          <w:tcPr>
            <w:tcW w:w="79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(780)</w:t>
            </w:r>
          </w:p>
        </w:tc>
      </w:tr>
      <w:tr>
        <w:trPr>
          <w:trHeight w:val="24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Purchases of held-to-maturity investments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(83,479)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(88,965)</w:t>
            </w:r>
          </w:p>
        </w:tc>
      </w:tr>
      <w:tr>
        <w:trPr>
          <w:trHeight w:val="225"/>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5"/>
                <w:szCs w:val="15"/>
                <w:color w:val="auto"/>
              </w:rPr>
              <w:t>Proceeds from maturities of held-to-maturity investments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130,000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44,700</w:t>
            </w:r>
          </w:p>
        </w:tc>
      </w:tr>
      <w:tr>
        <w:trPr>
          <w:trHeight w:val="23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(used in) investing activities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46,240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(45,045)</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Financing activities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Proceeds from the issuance of common stock upon exercise of options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225"/>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5"/>
                <w:szCs w:val="15"/>
                <w:color w:val="auto"/>
              </w:rPr>
              <w:t>Principal payments on finance leases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23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25"/>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cash equivalents and restricted cash</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(65,815)</w:t>
            </w:r>
          </w:p>
        </w:tc>
      </w:tr>
      <w:tr>
        <w:trPr>
          <w:trHeight w:val="23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beginning of period</w:t>
            </w:r>
          </w:p>
        </w:tc>
        <w:tc>
          <w:tcPr>
            <w:tcW w:w="9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104,184</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136,925</w:t>
            </w:r>
          </w:p>
        </w:tc>
      </w:tr>
      <w:tr>
        <w:trPr>
          <w:trHeight w:val="218"/>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at end of period</w:t>
            </w:r>
          </w:p>
        </w:tc>
        <w:tc>
          <w:tcPr>
            <w:tcW w:w="980" w:type="dxa"/>
            <w:vAlign w:val="bottom"/>
            <w:tcBorders>
              <w:bottom w:val="single" w:sz="8" w:color="auto"/>
            </w:tcBorders>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124,500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71,110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9"/>
        </w:trPr>
        <w:tc>
          <w:tcPr>
            <w:tcW w:w="79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disclosure of non-cash investing and financing activities: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Property and equipment included in accounts payable and accrued expenses</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23"/>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41"/>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5"/>
                <w:szCs w:val="15"/>
                <w:color w:val="auto"/>
              </w:rPr>
              <w:t>Cash paid for interest</w:t>
            </w:r>
          </w:p>
        </w:tc>
        <w:tc>
          <w:tcPr>
            <w:tcW w:w="98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bl>
    <w:p>
      <w:pPr>
        <w:spacing w:after="0" w:line="237"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NEUROGENE INC.</w:t>
      </w:r>
    </w:p>
    <w:p>
      <w:pPr>
        <w:spacing w:after="0" w:line="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161925</wp:posOffset>
            </wp:positionV>
            <wp:extent cx="70021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214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320" w:hanging="317"/>
        <w:spacing w:after="0"/>
        <w:tabs>
          <w:tab w:leader="none" w:pos="32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 and Description of Business</w:t>
      </w:r>
    </w:p>
    <w:p>
      <w:pPr>
        <w:spacing w:after="0" w:line="195" w:lineRule="exact"/>
        <w:rPr>
          <w:sz w:val="20"/>
          <w:szCs w:val="20"/>
          <w:color w:val="auto"/>
        </w:rPr>
      </w:pPr>
    </w:p>
    <w:p>
      <w:pPr>
        <w:jc w:val="both"/>
        <w:ind w:firstLine="309"/>
        <w:spacing w:after="0" w:line="208" w:lineRule="exact"/>
        <w:rPr>
          <w:sz w:val="20"/>
          <w:szCs w:val="20"/>
          <w:color w:val="auto"/>
        </w:rPr>
      </w:pPr>
      <w:r>
        <w:rPr>
          <w:rFonts w:ascii="Times New Roman" w:cs="Times New Roman" w:eastAsia="Times New Roman" w:hAnsi="Times New Roman"/>
          <w:sz w:val="17"/>
          <w:szCs w:val="17"/>
          <w:color w:val="auto"/>
        </w:rPr>
        <w:t>Neurogene Inc. (formerly known as Neoleukin Therapeutics, Inc. (“Neoleukin”)) (the “Company” or “Neurogene”) is a clinical-stage biotechnology company that is a result of the reverse merger. The operating entity of Neurogene Inc. is the wholly owned subsidiary incorporated in the state of Nevada and also named Neurogene Inc. (“Neurogene OpCo”). Neurogene OpCo was incorporated as a limited liability company in Delaware on January 26, 2018 and converted into a Delaware corporation on July 3, 2018, and then merged with a wholly owned subsidiary of the parent company and re-domiciled to Nevada on December 18, 2023 after completing a reverse merger with Neoleukin Therapeutics, Inc. (the “Closing”), in accordance with the terms of the Agreement and Plan of Merger, dated as of July 17, 2023 (the “Merger Agreement”). Both Neurogene and Neurogene OpCo have a principal place of business in New York, NY. Neurogene was formed to harness the power of gene therapy, combined with its EXACT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transgene regulation technology, to turn today’s complex devastating neurological diseases into treatable conditions. The Company’s first clinical-stage program to utilize the EXACT technology is NGN-401, which has completed dosing in a Phase 1/2 clinical trial for the treatment of Rett syndrome. The Company has also initiated a registrational trial of NGN-401 to treat Rett syndrome. The trial, known as the Embolden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study, is a single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arm, baseline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controlled, open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label study evaluating NGN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401 in females with Rett syndrome and has been designed to support a potential Biologics License Application ("BLA") submission. Since beginning operations, the Company has devoted substantially all its resources to conducting research and development activities and undertaking preclinical studies, establishing the Company’s manufacturing facility, conducting clinical trials and the manufacturing of product used in the Company’s clinical trials and preclinical studies, business planning, developing and maintaining our intellectual property portfolio, hiring personnel, raising capital, and providing general and administrative support for these activities.</w:t>
      </w:r>
    </w:p>
    <w:p>
      <w:pPr>
        <w:spacing w:after="0" w:line="152" w:lineRule="exact"/>
        <w:rPr>
          <w:sz w:val="20"/>
          <w:szCs w:val="20"/>
          <w:color w:val="auto"/>
        </w:rPr>
      </w:pPr>
    </w:p>
    <w:p>
      <w:pPr>
        <w:ind w:left="320" w:hanging="317"/>
        <w:spacing w:after="0"/>
        <w:tabs>
          <w:tab w:leader="none" w:pos="3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Risks and Uncertainties</w:t>
      </w:r>
    </w:p>
    <w:p>
      <w:pPr>
        <w:spacing w:after="0" w:line="182"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Company is subject to risks common to companies in the biotechnology industry, including, but not limited to, successful development of technology, obtaining additional funding, protection of proprietary technology, compliance with government regulations, risks of failure of preclinical studies, clinical studies and clinical trials, risks related to personnel changes and other disruptions at federal agencies, including the U.S. Food and Drug Administration ("FDA"), and uncertainty related to those disruptions, the need to obtain marketing approval for its drug candidates and its consumer products, fluctuations in operating results, economic pressure impacting therapeutic pricing and reimbursement, dependence on key personnel, risks associated with changes in technologies, development by competitors of technological innovations and the ability to transition from pilot scale manufacturing to large scale production.</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Liquidity and Financial Condition</w:t>
      </w:r>
    </w:p>
    <w:p>
      <w:pPr>
        <w:spacing w:after="0" w:line="18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Since its inception, the Company has funded its operations primarily with outside capital (e.g., proceeds from the sale of preferred stock, common stock, and pre-funded warrants) and has incurred significant recurring losses, including net losses of $30.9 million and $22.6 million for the three months ended March 31, 2026 and 2025, respectively. In addition, the Company used cash in operations of $26.1 million and $20.8 million for the three months ended March 31, 2026 and 2025, respectively, and had an accumulated deficit of $383.6 million as of March 31, 2026. Management expects to incur substantial and increasing losses in future periods as the Company advances its products through its clinical and regulatory process and will rely on outside capital to fund its operations for the foreseeable future. The Company has not generated positive cash flows from operations, and there are no assurances that the Company will be successful in obtaining an adequate level of financing for the development and commercialization of its product candidates.</w:t>
      </w:r>
    </w:p>
    <w:p>
      <w:pPr>
        <w:spacing w:after="0" w:line="14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As of March 31, 2026, the Company had cash, cash equivalents and short-term investments of approximately $243.2 million. The Company expects its available cash and cash equivalents on hand as of the issuance date of these financial statements will be sufficient to fund its obligations as they become due for at least one year beyond the issuance date of these financial statements.</w:t>
      </w:r>
    </w:p>
    <w:p>
      <w:pPr>
        <w:spacing w:after="0" w:line="140"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the event the Company is unable to secure additional outside capital, management will be required to seek other alternatives which may include, among others, a delay or termination of clinical trials or the development of its product candidates, temporary or permanent curtailment of the Company’s operations, a sale of assets, or other alternatives with strategic or financial partners.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36" w:lineRule="exact"/>
        <w:rPr>
          <w:sz w:val="20"/>
          <w:szCs w:val="20"/>
          <w:color w:val="auto"/>
        </w:rPr>
      </w:pPr>
    </w:p>
    <w:p>
      <w:pPr>
        <w:ind w:left="320" w:right="7700" w:hanging="317"/>
        <w:spacing w:after="0" w:line="461" w:lineRule="auto"/>
        <w:tabs>
          <w:tab w:leader="none" w:pos="3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b w:val="1"/>
          <w:bCs w:val="1"/>
          <w:i w:val="1"/>
          <w:iCs w:val="1"/>
          <w:color w:val="auto"/>
        </w:rPr>
        <w:t>Basis of Presentation</w:t>
      </w:r>
    </w:p>
    <w:p>
      <w:pPr>
        <w:spacing w:after="0" w:line="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of America (“U.S. GAAP”) and pursuant to the rules and regulations of the United States Securities and Exchange Commission (“SEC”) for interim financial information. Accordingly, these financial statements do not include all of the information and footnotes required by U.S. GAAP for complete financial statements and should be read in conjunction with the audited consolidated financial statements and accompanying notes included in the Company’s Annual Report on Form 10-K for the year ended December 31, 2025, filed with the SEC on March 24, 2026.</w:t>
      </w:r>
    </w:p>
    <w:p>
      <w:pPr>
        <w:spacing w:after="0" w:line="1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management’s opinion, the unaudited condensed consolidated financial statements reflect all adjustments (consisting of normal recurring adjustments) necessary to present fairly the financial position of the Company as of March 31, 2026, and results of operations and cash flows for all periods presented. The interim results presented are not necessarily indicative of results that can be expected for the full year ending December 31, 2026.</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8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The preparation of the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In preparing these financial statements, management used significant estimates in the following areas, among others: recoverability of the Company’s net deferred tax assets and related valuation allowance, useful lives and recoverability of property and equipment, determining the incremental borrowing rate for calculating lease liabilities and related right-of-use assets and finance lease assets, clinical trial accruals, accrual estimates for all contingent value rights (“CVRs”), and the value attributed to employee stock options and other stock-based awards. On an ongoing basis, the Company reviews its estimates to ensure that they appropriately reflect changes in the business or as new information becomes available. Actual results may differ from these estimates.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19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The Company determines and presents operating segments based on the information internally provided to the Chief Operating Decision Makers (“CODM”) in accordance with Accounting Standards Codification (“ASC”) 280, Segment Reporting. The Company’s CODMs are (i) the Chief Executive Officer and (ii) the President and Chief Financial Officer. The Company is a clinical stage biotechnology company that operates as a single operating segment and has one reportable segment. Refer to Note 13, </w:t>
      </w:r>
      <w:r>
        <w:rPr>
          <w:rFonts w:ascii="Times New Roman" w:cs="Times New Roman" w:eastAsia="Times New Roman" w:hAnsi="Times New Roman"/>
          <w:sz w:val="17"/>
          <w:szCs w:val="17"/>
          <w:i w:val="1"/>
          <w:iCs w:val="1"/>
          <w:color w:val="auto"/>
        </w:rPr>
        <w:t>Segment Information,</w:t>
      </w:r>
      <w:r>
        <w:rPr>
          <w:rFonts w:ascii="Times New Roman" w:cs="Times New Roman" w:eastAsia="Times New Roman" w:hAnsi="Times New Roman"/>
          <w:sz w:val="17"/>
          <w:szCs w:val="17"/>
          <w:color w:val="auto"/>
        </w:rPr>
        <w:t xml:space="preserve"> for further information related to the Company’s segment.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184"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Company considers all highly-liquid investments purchased with original maturities of 90 days or less at time of purchase to be cash equivalents. Cash and cash equivalents include cash held in banks and are stated at fair value.</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 w:name="page10"/>
    <w:bookmarkEnd w:id="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in the balance sheets that sum to the total of the same such amounts shown in the statements of cash flows (in thousands):</w:t>
      </w:r>
    </w:p>
    <w:p>
      <w:pPr>
        <w:spacing w:after="0" w:line="173"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65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jc w:val="right"/>
              <w:ind w:right="45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6520" w:type="dxa"/>
            <w:vAlign w:val="bottom"/>
          </w:tcPr>
          <w:p>
            <w:pPr>
              <w:spacing w:after="0"/>
              <w:rPr>
                <w:sz w:val="19"/>
                <w:szCs w:val="19"/>
                <w:color w:val="auto"/>
              </w:rPr>
            </w:pPr>
          </w:p>
        </w:tc>
        <w:tc>
          <w:tcPr>
            <w:tcW w:w="1460" w:type="dxa"/>
            <w:vAlign w:val="bottom"/>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ind w:right="7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65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1"/>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460" w:type="dxa"/>
            <w:vAlign w:val="bottom"/>
            <w:tcBorders>
              <w:bottom w:val="single" w:sz="8" w:color="CCEEFF"/>
            </w:tcBorders>
            <w:shd w:val="clear" w:color="auto" w:fill="CCEEFF"/>
          </w:tcPr>
          <w:p>
            <w:pPr>
              <w:jc w:val="right"/>
              <w:ind w:right="12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124,161</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103,845</w:t>
            </w:r>
          </w:p>
        </w:tc>
      </w:tr>
      <w:tr>
        <w:trPr>
          <w:trHeight w:val="232"/>
        </w:trPr>
        <w:tc>
          <w:tcPr>
            <w:tcW w:w="6520" w:type="dxa"/>
            <w:vAlign w:val="bottom"/>
          </w:tcPr>
          <w:p>
            <w:pPr>
              <w:spacing w:after="0"/>
              <w:rPr>
                <w:sz w:val="20"/>
                <w:szCs w:val="20"/>
                <w:color w:val="auto"/>
              </w:rPr>
            </w:pPr>
            <w:r>
              <w:rPr>
                <w:rFonts w:ascii="Times New Roman" w:cs="Times New Roman" w:eastAsia="Times New Roman" w:hAnsi="Times New Roman"/>
                <w:sz w:val="17"/>
                <w:szCs w:val="17"/>
                <w:color w:val="auto"/>
              </w:rPr>
              <w:t>Restricted cash</w:t>
            </w:r>
          </w:p>
        </w:tc>
        <w:tc>
          <w:tcPr>
            <w:tcW w:w="14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r>
      <w:tr>
        <w:trPr>
          <w:trHeight w:val="25"/>
        </w:trPr>
        <w:tc>
          <w:tcPr>
            <w:tcW w:w="65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76"/>
        </w:trPr>
        <w:tc>
          <w:tcPr>
            <w:tcW w:w="6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cash, cash equivalents and restricted cash</w:t>
            </w:r>
          </w:p>
        </w:tc>
        <w:tc>
          <w:tcPr>
            <w:tcW w:w="1460" w:type="dxa"/>
            <w:vAlign w:val="bottom"/>
            <w:tcBorders>
              <w:bottom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124,500</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104,184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color w:val="auto"/>
        </w:rPr>
        <w:t xml:space="preserve">Cash equivalents consist of money market funds in which the carrying value equals the fair value (see Note 5, </w:t>
      </w:r>
      <w:r>
        <w:rPr>
          <w:rFonts w:ascii="Times New Roman" w:cs="Times New Roman" w:eastAsia="Times New Roman" w:hAnsi="Times New Roman"/>
          <w:sz w:val="17"/>
          <w:szCs w:val="17"/>
          <w:i w:val="1"/>
          <w:iCs w:val="1"/>
          <w:color w:val="auto"/>
        </w:rPr>
        <w:t>Fair Value of Financial Instruments</w:t>
      </w:r>
      <w:r>
        <w:rPr>
          <w:rFonts w:ascii="Times New Roman" w:cs="Times New Roman" w:eastAsia="Times New Roman" w:hAnsi="Times New Roman"/>
          <w:sz w:val="17"/>
          <w:szCs w:val="17"/>
          <w:color w:val="auto"/>
        </w:rPr>
        <w:t>). Restricted cash includes $0.3 million in cash deposits the Company maintains with its bank as collateral for the irrevocable letters of credit related to its lease obligations.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Concentrations of Credit Risk</w:t>
      </w:r>
    </w:p>
    <w:p>
      <w:pPr>
        <w:spacing w:after="0" w:line="184"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Financial instruments that subject the Company to significant concentrations of credit risk consist primarily of cash and cash equivalents. The Company’s cash and cash equivalent accounts, at times, may exceed federally insured limits. As of March 31, 2026, the Company had $124.0 million in excess of the federally insured limits. The Company places its cash in financial institutions that management believes to be of high credit quality.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Contingent Value Right</w:t>
      </w:r>
      <w:r>
        <w:rPr>
          <w:rFonts w:ascii="Times New Roman" w:cs="Times New Roman" w:eastAsia="Times New Roman" w:hAnsi="Times New Roman"/>
          <w:sz w:val="17"/>
          <w:szCs w:val="17"/>
          <w:b w:val="1"/>
          <w:bCs w:val="1"/>
          <w:color w:val="auto"/>
        </w:rPr>
        <w:t>s</w:t>
      </w:r>
    </w:p>
    <w:p>
      <w:pPr>
        <w:spacing w:after="0" w:line="18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In conjunction with the reverse merger, the Company entered into a CVR Agreement on December 18, 2023 with the Rights Agent named therein (the “CVR Agreement”) prior to Closing. Included in the CVR Agreement are three different types of CVRs: (i) the Lease CVR, (ii) the Intellectual Property CVR, and (iii) the Sales Tax CVR (each as defined in the CVR Agreement). The Company evaluated each of the CVRs to determine if they qualified as derivatives under ASC 815, </w:t>
      </w:r>
      <w:r>
        <w:rPr>
          <w:rFonts w:ascii="Times New Roman" w:cs="Times New Roman" w:eastAsia="Times New Roman" w:hAnsi="Times New Roman"/>
          <w:sz w:val="17"/>
          <w:szCs w:val="17"/>
          <w:i w:val="1"/>
          <w:iCs w:val="1"/>
          <w:color w:val="auto"/>
        </w:rPr>
        <w:t>Derivatives and Hedging</w:t>
      </w:r>
      <w:r>
        <w:rPr>
          <w:rFonts w:ascii="Times New Roman" w:cs="Times New Roman" w:eastAsia="Times New Roman" w:hAnsi="Times New Roman"/>
          <w:sz w:val="17"/>
          <w:szCs w:val="17"/>
          <w:color w:val="auto"/>
        </w:rPr>
        <w:t xml:space="preserve">, and concluded that since certain scope exceptions were met, the CVRs did not qualify as derivatives. Instead, the Company records a contingent consideration liability associated with the CVRs when payments are probable and estimable under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In assessing whether payments are probable and estimable, the Company considers the existence of or ability to enter into agreements with third parties or government agencies and the timing of potential payments. Refer to Note 9, </w:t>
      </w:r>
      <w:r>
        <w:rPr>
          <w:rFonts w:ascii="Times New Roman" w:cs="Times New Roman" w:eastAsia="Times New Roman" w:hAnsi="Times New Roman"/>
          <w:sz w:val="17"/>
          <w:szCs w:val="17"/>
          <w:i w:val="1"/>
          <w:iCs w:val="1"/>
          <w:color w:val="auto"/>
        </w:rPr>
        <w:t>Commitments and Contingencies</w:t>
      </w:r>
      <w:r>
        <w:rPr>
          <w:rFonts w:ascii="Times New Roman" w:cs="Times New Roman" w:eastAsia="Times New Roman" w:hAnsi="Times New Roman"/>
          <w:sz w:val="17"/>
          <w:szCs w:val="17"/>
          <w:color w:val="auto"/>
        </w:rPr>
        <w:t>, for further discussion on the CVRs.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19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Company accounts for income taxes in accordance with ASC 740, Income Taxes, which prescribes the use of the liability method whereby deferred tax assets and liabilities are determined based on the difference between the financial statement and tax basis of assets and liabilities using enacted tax rates in effect for the year in which the differences are expected to reverse. A valuation allowance is provided to reduce the net deferred tax assets to a level which, more likely than not, will be realized. No provision for federal or state income taxes was recorded during the three months ended March 31, 2026 and 2025, as the Company incurred operating losses and maintains a full valuation allowance against its net deferred tax assets.</w:t>
      </w:r>
    </w:p>
    <w:p>
      <w:pPr>
        <w:spacing w:after="0" w:line="136"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Company assesses its income tax positions and records tax benefits based upon management’s evaluation of the facts, circumstances, and information available at the reporting date. For those tax positions where it is more likely than not that a tax benefit will be sustained, the Company records the amount of tax benefit with a greater than 50 percent likelihood of being realized upon ultimate settlement with a taxing authority having full knowledge of all relevant information. For those income tax positions for which it is not more likely than not that a tax benefit will be sustained, no tax benefit is recognized in the financial statements. Potential interest and penalties associated with such uncertain tax positions is recorded as a component of income tax expense. As of March 31, 2026, there were no material changes to either the nature or the amounts of the uncertain tax positions.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19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Company’s significant accounting policies are disclosed in the audited financial statements filed with the Company’s Annual Report on Form 10-K for the year ended December 31, 2025. Since the date of those financial statements, there have been no changes to the Company’s significant accounting policies.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0" w:name="page11"/>
    <w:bookmarkEnd w:id="1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 Attributable to Common Stockholders</w:t>
      </w:r>
    </w:p>
    <w:p>
      <w:pPr>
        <w:spacing w:after="0" w:line="19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Basic net loss per share of common stock is computed by dividing net income attributable to the Company by the weighted-average number of shares of common stock outstanding during the period. In periods of losses, diluted net loss per share is computed on the same basis as basic net loss per share as the inclusion of any other potential shares outstanding would be anti-dilutive. Outstanding pre-funded warrants as of March 31, 2026 and March 31, 2025 were 6,792,559 and 6,124,996, respectively. Pre-funded warrants are considered outstanding as of their issuance date and are included in basic and diluted net loss per share because they are fully vested and exercisable for nominal cash consideration.</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potentially dilutive securities have been excluded from the diluted per share calculations as they would be anti-dilutive:</w:t>
      </w:r>
    </w:p>
    <w:p>
      <w:pPr>
        <w:spacing w:after="0" w:line="226" w:lineRule="exact"/>
        <w:rPr>
          <w:sz w:val="20"/>
          <w:szCs w:val="20"/>
          <w:color w:val="auto"/>
        </w:rPr>
      </w:pPr>
    </w:p>
    <w:p>
      <w:pPr>
        <w:ind w:left="8200"/>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4831715</wp:posOffset>
            </wp:positionH>
            <wp:positionV relativeFrom="paragraph">
              <wp:posOffset>36195</wp:posOffset>
            </wp:positionV>
            <wp:extent cx="22428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42820" cy="8255"/>
                    </a:xfrm>
                    <a:prstGeom prst="rect">
                      <a:avLst/>
                    </a:prstGeom>
                    <a:noFill/>
                  </pic:spPr>
                </pic:pic>
              </a:graphicData>
            </a:graphic>
          </wp:anchor>
        </w:drawing>
      </w:r>
    </w:p>
    <w:p>
      <w:pPr>
        <w:spacing w:after="0" w:line="55"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8340" w:type="dxa"/>
            <w:vAlign w:val="bottom"/>
            <w:gridSpan w:val="2"/>
          </w:tcPr>
          <w:p>
            <w:pPr>
              <w:ind w:left="8000"/>
              <w:spacing w:after="0"/>
              <w:rPr>
                <w:sz w:val="20"/>
                <w:szCs w:val="20"/>
                <w:color w:val="auto"/>
              </w:rPr>
            </w:pPr>
            <w:r>
              <w:rPr>
                <w:rFonts w:ascii="Times New Roman" w:cs="Times New Roman" w:eastAsia="Times New Roman" w:hAnsi="Times New Roman"/>
                <w:sz w:val="17"/>
                <w:szCs w:val="17"/>
                <w:b w:val="1"/>
                <w:bCs w:val="1"/>
                <w:color w:val="auto"/>
                <w:w w:val="93"/>
              </w:rPr>
              <w:t>2026</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7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stock options</w:t>
            </w:r>
          </w:p>
        </w:tc>
        <w:tc>
          <w:tcPr>
            <w:tcW w:w="10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2,820,038</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2,086,334</w:t>
            </w:r>
          </w:p>
        </w:tc>
      </w:tr>
      <w:tr>
        <w:trPr>
          <w:trHeight w:val="232"/>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296,578</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279,458</w:t>
            </w:r>
          </w:p>
        </w:tc>
      </w:tr>
      <w:tr>
        <w:trPr>
          <w:trHeight w:val="25"/>
        </w:trPr>
        <w:tc>
          <w:tcPr>
            <w:tcW w:w="7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38"/>
        </w:trPr>
        <w:tc>
          <w:tcPr>
            <w:tcW w:w="8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Performance stock units</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252,124</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252,124</w:t>
            </w:r>
          </w:p>
        </w:tc>
      </w:tr>
      <w:tr>
        <w:trPr>
          <w:trHeight w:val="232"/>
        </w:trPr>
        <w:tc>
          <w:tcPr>
            <w:tcW w:w="8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issuable under 2023 Employee Stock Purchase Plan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3,942</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2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76"/>
        </w:trPr>
        <w:tc>
          <w:tcPr>
            <w:tcW w:w="7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0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6"/>
              </w:rPr>
              <w:t>3,372,682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2,617,916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Standards</w:t>
      </w:r>
    </w:p>
    <w:p>
      <w:pPr>
        <w:spacing w:after="0" w:line="19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condensed financial statements or disclosures.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Recently Issued Accounting Pronouncements Not Yet Adopted</w:t>
      </w:r>
    </w:p>
    <w:p>
      <w:pPr>
        <w:spacing w:after="0" w:line="178"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 xml:space="preserve">In November 2024, the FASB issued ASU 2024-03, </w:t>
      </w:r>
      <w:r>
        <w:rPr>
          <w:rFonts w:ascii="Times New Roman" w:cs="Times New Roman" w:eastAsia="Times New Roman" w:hAnsi="Times New Roman"/>
          <w:sz w:val="17"/>
          <w:szCs w:val="17"/>
          <w:i w:val="1"/>
          <w:iCs w:val="1"/>
          <w:color w:val="auto"/>
        </w:rPr>
        <w:t>Income Statement - Reporting Comprehensive Income - Expense Disaggregation Disclosures</w:t>
      </w:r>
      <w:r>
        <w:rPr>
          <w:rFonts w:ascii="Times New Roman" w:cs="Times New Roman" w:eastAsia="Times New Roman" w:hAnsi="Times New Roman"/>
          <w:sz w:val="17"/>
          <w:szCs w:val="17"/>
          <w:color w:val="auto"/>
        </w:rPr>
        <w:t xml:space="preserve"> (“ASU 2024-03”) which requires public entities to provide disaggregated disclosure of income statement expenses. Public entities are required to disaggregate, in a tabular presentation, each relevant expense caption on the face of the condensed consolidated statements of operations such as the following expenses: purchases of inventory, employee compensation, intangible asset amortization, and depreciation. In January 2025, the FASB issued ASU 2025-01, </w:t>
      </w:r>
      <w:r>
        <w:rPr>
          <w:rFonts w:ascii="Times New Roman" w:cs="Times New Roman" w:eastAsia="Times New Roman" w:hAnsi="Times New Roman"/>
          <w:sz w:val="17"/>
          <w:szCs w:val="17"/>
          <w:i w:val="1"/>
          <w:iCs w:val="1"/>
          <w:color w:val="auto"/>
        </w:rPr>
        <w:t>Income Statement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Reporting Comprehensive Income - Expense Disaggregation Disclosures</w:t>
      </w:r>
      <w:r>
        <w:rPr>
          <w:rFonts w:ascii="Times New Roman" w:cs="Times New Roman" w:eastAsia="Times New Roman" w:hAnsi="Times New Roman"/>
          <w:sz w:val="17"/>
          <w:szCs w:val="17"/>
          <w:color w:val="auto"/>
        </w:rPr>
        <w:t>, to clarify the effective date. The updated effective date for the Company to adopt ASU</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2024-03 is for annual reporting periods beginning after December 15, 2026 and interim periods within annual reporting periods beginning after December 15, 2027, with early adoption permitted. The Company is currently evaluating the potential impact that ASU 2024-03 will have on its financial statement disclosures.</w:t>
      </w:r>
    </w:p>
    <w:p>
      <w:pPr>
        <w:spacing w:after="0" w:line="148"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 xml:space="preserve">In September 2025, the FASB issued ASU 2025-06, </w:t>
      </w:r>
      <w:r>
        <w:rPr>
          <w:rFonts w:ascii="Times New Roman" w:cs="Times New Roman" w:eastAsia="Times New Roman" w:hAnsi="Times New Roman"/>
          <w:sz w:val="17"/>
          <w:szCs w:val="17"/>
          <w:i w:val="1"/>
          <w:iCs w:val="1"/>
          <w:color w:val="auto"/>
        </w:rPr>
        <w:t>Intangibles - Goodwill and Other - Internal-Use Software (Subtopic 350-40)</w:t>
      </w:r>
      <w:r>
        <w:rPr>
          <w:rFonts w:ascii="Times New Roman" w:cs="Times New Roman" w:eastAsia="Times New Roman" w:hAnsi="Times New Roman"/>
          <w:sz w:val="17"/>
          <w:szCs w:val="17"/>
          <w:color w:val="auto"/>
        </w:rPr>
        <w:t xml:space="preserve"> (“ASU 2025-06”) which removes all references to project stages throughout ASC 350-40, </w:t>
      </w:r>
      <w:r>
        <w:rPr>
          <w:rFonts w:ascii="Times New Roman" w:cs="Times New Roman" w:eastAsia="Times New Roman" w:hAnsi="Times New Roman"/>
          <w:sz w:val="17"/>
          <w:szCs w:val="17"/>
          <w:i w:val="1"/>
          <w:iCs w:val="1"/>
          <w:color w:val="auto"/>
        </w:rPr>
        <w:t>Intangibles — Goodwill and Other, Internal-Use Software</w:t>
      </w:r>
      <w:r>
        <w:rPr>
          <w:rFonts w:ascii="Times New Roman" w:cs="Times New Roman" w:eastAsia="Times New Roman" w:hAnsi="Times New Roman"/>
          <w:sz w:val="17"/>
          <w:szCs w:val="17"/>
          <w:color w:val="auto"/>
        </w:rPr>
        <w:t>. Cost capitalization will now begin solely when (1) management has authorized and committed to funding the software project, and (2) it is ‘probable’ the project will be completed and the software used to perform its intended function (referred to as the probable-to-complete recognition threshold). The effective date for the Company to adopt ASU 2025-06 is for annual reporting periods beginning after December 15, 2027 and interim reporting periods within those annual reporting periods, with early adoption permitted. The Company is currently evaluating the potential impact that ASU 2025-06 will have on its financial statement disclosures.</w:t>
      </w:r>
    </w:p>
    <w:p>
      <w:pPr>
        <w:spacing w:after="0" w:line="200" w:lineRule="exact"/>
        <w:rPr>
          <w:sz w:val="20"/>
          <w:szCs w:val="20"/>
          <w:color w:val="auto"/>
        </w:rPr>
      </w:pP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hanging="317"/>
        <w:spacing w:after="0"/>
        <w:tabs>
          <w:tab w:leader="none" w:pos="3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Investments</w:t>
      </w:r>
    </w:p>
    <w:p>
      <w:pPr>
        <w:spacing w:after="0" w:line="105"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table summarizes the Company’s investment securities as of March 31, 2026 and December 31, 2025 (in thousands):</w:t>
      </w: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6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March 31, 2026</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5"/>
        </w:trPr>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5"/>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2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Amortized cost, as</w:t>
            </w: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2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unrealized</w:t>
            </w:r>
          </w:p>
        </w:tc>
        <w:tc>
          <w:tcPr>
            <w:tcW w:w="220" w:type="dxa"/>
            <w:vAlign w:val="bottom"/>
          </w:tcPr>
          <w:p>
            <w:pPr>
              <w:spacing w:after="0"/>
              <w:rPr>
                <w:sz w:val="17"/>
                <w:szCs w:val="17"/>
                <w:color w:val="auto"/>
              </w:rPr>
            </w:pPr>
          </w:p>
        </w:tc>
        <w:tc>
          <w:tcPr>
            <w:tcW w:w="148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Estimated fair</w:t>
            </w:r>
          </w:p>
        </w:tc>
      </w:tr>
      <w:tr>
        <w:trPr>
          <w:trHeight w:val="227"/>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22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holding gains</w:t>
            </w: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holding losses</w:t>
            </w:r>
          </w:p>
        </w:tc>
        <w:tc>
          <w:tcPr>
            <w:tcW w:w="220" w:type="dxa"/>
            <w:vAlign w:val="bottom"/>
          </w:tcPr>
          <w:p>
            <w:pPr>
              <w:spacing w:after="0"/>
              <w:rPr>
                <w:sz w:val="19"/>
                <w:szCs w:val="19"/>
                <w:color w:val="auto"/>
              </w:rPr>
            </w:pPr>
          </w:p>
        </w:tc>
        <w:tc>
          <w:tcPr>
            <w:tcW w:w="148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7"/>
              </w:rPr>
              <w:t>value</w:t>
            </w:r>
          </w:p>
        </w:tc>
      </w:tr>
      <w:tr>
        <w:trPr>
          <w:trHeight w:val="25"/>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32"/>
        </w:trPr>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116,978</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116,978</w:t>
            </w:r>
          </w:p>
        </w:tc>
      </w:tr>
      <w:tr>
        <w:trPr>
          <w:trHeight w:val="25"/>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2"/>
        </w:trPr>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treasury notes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119,034</w:t>
            </w:r>
          </w:p>
        </w:tc>
      </w:tr>
      <w:tr>
        <w:trPr>
          <w:trHeight w:val="25"/>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235,999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236,012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436"/>
        </w:trPr>
        <w:tc>
          <w:tcPr>
            <w:tcW w:w="554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All of the Company’s investments mature within the next 12 months.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25"/>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60" w:type="dxa"/>
            <w:vAlign w:val="bottom"/>
            <w:gridSpan w:val="5"/>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
        </w:trPr>
        <w:tc>
          <w:tcPr>
            <w:tcW w:w="38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5"/>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Gross</w:t>
            </w:r>
          </w:p>
        </w:tc>
        <w:tc>
          <w:tcPr>
            <w:tcW w:w="2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Gross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6"/>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Amortized cost, as</w:t>
            </w:r>
          </w:p>
        </w:tc>
        <w:tc>
          <w:tcPr>
            <w:tcW w:w="22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unrealized</w:t>
            </w:r>
          </w:p>
        </w:tc>
        <w:tc>
          <w:tcPr>
            <w:tcW w:w="240" w:type="dxa"/>
            <w:vAlign w:val="bottom"/>
          </w:tcPr>
          <w:p>
            <w:pPr>
              <w:spacing w:after="0"/>
              <w:rPr>
                <w:sz w:val="17"/>
                <w:szCs w:val="17"/>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unrealized</w:t>
            </w:r>
          </w:p>
        </w:tc>
        <w:tc>
          <w:tcPr>
            <w:tcW w:w="220" w:type="dxa"/>
            <w:vAlign w:val="bottom"/>
          </w:tcPr>
          <w:p>
            <w:pPr>
              <w:spacing w:after="0"/>
              <w:rPr>
                <w:sz w:val="17"/>
                <w:szCs w:val="17"/>
                <w:color w:val="auto"/>
              </w:rPr>
            </w:pPr>
          </w:p>
        </w:tc>
        <w:tc>
          <w:tcPr>
            <w:tcW w:w="148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rPr>
              <w:t>Estimated fair</w:t>
            </w:r>
          </w:p>
        </w:tc>
      </w:tr>
      <w:tr>
        <w:trPr>
          <w:trHeight w:val="227"/>
        </w:trPr>
        <w:tc>
          <w:tcPr>
            <w:tcW w:w="3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adjusted</w:t>
            </w:r>
          </w:p>
        </w:tc>
        <w:tc>
          <w:tcPr>
            <w:tcW w:w="220" w:type="dxa"/>
            <w:vAlign w:val="bottom"/>
          </w:tcPr>
          <w:p>
            <w:pPr>
              <w:spacing w:after="0"/>
              <w:rPr>
                <w:sz w:val="19"/>
                <w:szCs w:val="19"/>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holding gains</w:t>
            </w:r>
          </w:p>
        </w:tc>
        <w:tc>
          <w:tcPr>
            <w:tcW w:w="240" w:type="dxa"/>
            <w:vAlign w:val="bottom"/>
          </w:tcPr>
          <w:p>
            <w:pPr>
              <w:spacing w:after="0"/>
              <w:rPr>
                <w:sz w:val="19"/>
                <w:szCs w:val="19"/>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holding losses</w:t>
            </w:r>
          </w:p>
        </w:tc>
        <w:tc>
          <w:tcPr>
            <w:tcW w:w="220" w:type="dxa"/>
            <w:vAlign w:val="bottom"/>
          </w:tcPr>
          <w:p>
            <w:pPr>
              <w:spacing w:after="0"/>
              <w:rPr>
                <w:sz w:val="19"/>
                <w:szCs w:val="19"/>
                <w:color w:val="auto"/>
              </w:rPr>
            </w:pPr>
          </w:p>
        </w:tc>
        <w:tc>
          <w:tcPr>
            <w:tcW w:w="1480" w:type="dxa"/>
            <w:vAlign w:val="bottom"/>
          </w:tcPr>
          <w:p>
            <w:pPr>
              <w:jc w:val="center"/>
              <w:ind w:right="134"/>
              <w:spacing w:after="0"/>
              <w:rPr>
                <w:sz w:val="20"/>
                <w:szCs w:val="20"/>
                <w:color w:val="auto"/>
              </w:rPr>
            </w:pPr>
            <w:r>
              <w:rPr>
                <w:rFonts w:ascii="Times New Roman" w:cs="Times New Roman" w:eastAsia="Times New Roman" w:hAnsi="Times New Roman"/>
                <w:sz w:val="17"/>
                <w:szCs w:val="17"/>
                <w:b w:val="1"/>
                <w:bCs w:val="1"/>
                <w:color w:val="auto"/>
                <w:w w:val="97"/>
              </w:rPr>
              <w:t>value</w:t>
            </w:r>
          </w:p>
        </w:tc>
      </w:tr>
      <w:tr>
        <w:trPr>
          <w:trHeight w:val="25"/>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equivalents:</w:t>
            </w:r>
          </w:p>
        </w:tc>
        <w:tc>
          <w:tcPr>
            <w:tcW w:w="1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32"/>
        </w:trPr>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93,593</w:t>
            </w:r>
          </w:p>
        </w:tc>
        <w:tc>
          <w:tcPr>
            <w:tcW w:w="10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93,593</w:t>
            </w:r>
          </w:p>
        </w:tc>
      </w:tr>
      <w:tr>
        <w:trPr>
          <w:trHeight w:val="25"/>
        </w:trPr>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8"/>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Short-term investments:</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32"/>
        </w:trPr>
        <w:tc>
          <w:tcPr>
            <w:tcW w:w="38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U.S. treasury notes</w:t>
            </w: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165,168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ind w:left="12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165,302</w:t>
            </w:r>
          </w:p>
        </w:tc>
      </w:tr>
      <w:tr>
        <w:trPr>
          <w:trHeight w:val="25"/>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6"/>
        </w:trPr>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258,761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258,895</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320" w:hanging="317"/>
        <w:spacing w:after="0"/>
        <w:tabs>
          <w:tab w:leader="none" w:pos="3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of Financial Instruments</w:t>
      </w:r>
    </w:p>
    <w:p>
      <w:pPr>
        <w:spacing w:after="0" w:line="195"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As of March 31, 2026 and December 31, 2025, financial assets measured at fair value on a recurring basis are categorized in the table below based upon the lowest level of significant input to the valuations (in thousands):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93"/>
        </w:trPr>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60" w:type="dxa"/>
            <w:vAlign w:val="bottom"/>
          </w:tcPr>
          <w:p>
            <w:pPr>
              <w:spacing w:after="0"/>
              <w:rPr>
                <w:sz w:val="24"/>
                <w:szCs w:val="24"/>
                <w:color w:val="auto"/>
              </w:rPr>
            </w:pPr>
          </w:p>
        </w:tc>
        <w:tc>
          <w:tcPr>
            <w:tcW w:w="1520" w:type="dxa"/>
            <w:vAlign w:val="bottom"/>
            <w:gridSpan w:val="2"/>
          </w:tcPr>
          <w:p>
            <w:pPr>
              <w:ind w:left="52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5"/>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2"/>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116,978</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gridSpan w:val="2"/>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notes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119,034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gridSpan w:val="2"/>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236,012</w:t>
            </w:r>
          </w:p>
        </w:tc>
        <w:tc>
          <w:tcPr>
            <w:tcW w:w="8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tcPr>
          <w:p>
            <w:pPr>
              <w:ind w:left="118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8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 2025</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93"/>
        </w:trPr>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400" w:type="dxa"/>
            <w:vAlign w:val="bottom"/>
          </w:tcPr>
          <w:p>
            <w:pPr>
              <w:spacing w:after="0"/>
              <w:rPr>
                <w:sz w:val="24"/>
                <w:szCs w:val="24"/>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360" w:type="dxa"/>
            <w:vAlign w:val="bottom"/>
          </w:tcPr>
          <w:p>
            <w:pPr>
              <w:spacing w:after="0"/>
              <w:rPr>
                <w:sz w:val="24"/>
                <w:szCs w:val="24"/>
                <w:color w:val="auto"/>
              </w:rPr>
            </w:pPr>
          </w:p>
        </w:tc>
        <w:tc>
          <w:tcPr>
            <w:tcW w:w="1120" w:type="dxa"/>
            <w:vAlign w:val="bottom"/>
          </w:tcPr>
          <w:p>
            <w:pPr>
              <w:ind w:left="280"/>
              <w:spacing w:after="0"/>
              <w:rPr>
                <w:sz w:val="20"/>
                <w:szCs w:val="20"/>
                <w:color w:val="auto"/>
              </w:rPr>
            </w:pPr>
            <w:r>
              <w:rPr>
                <w:rFonts w:ascii="Times New Roman" w:cs="Times New Roman" w:eastAsia="Times New Roman" w:hAnsi="Times New Roman"/>
                <w:sz w:val="17"/>
                <w:szCs w:val="17"/>
                <w:b w:val="1"/>
                <w:bCs w:val="1"/>
                <w:color w:val="auto"/>
              </w:rPr>
              <w:t>Level 3</w:t>
            </w:r>
          </w:p>
        </w:tc>
      </w:tr>
      <w:tr>
        <w:trPr>
          <w:trHeight w:val="25"/>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8"/>
        </w:trPr>
        <w:tc>
          <w:tcPr>
            <w:tcW w:w="6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232"/>
        </w:trPr>
        <w:tc>
          <w:tcPr>
            <w:tcW w:w="60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Money market funds</w:t>
            </w:r>
          </w:p>
        </w:tc>
        <w:tc>
          <w:tcPr>
            <w:tcW w:w="3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93,593</w:t>
            </w:r>
          </w:p>
        </w:tc>
        <w:tc>
          <w:tcPr>
            <w:tcW w:w="80" w:type="dxa"/>
            <w:vAlign w:val="bottom"/>
          </w:tcPr>
          <w:p>
            <w:pPr>
              <w:spacing w:after="0"/>
              <w:rPr>
                <w:sz w:val="20"/>
                <w:szCs w:val="20"/>
                <w:color w:val="auto"/>
              </w:rPr>
            </w:pPr>
          </w:p>
        </w:tc>
        <w:tc>
          <w:tcPr>
            <w:tcW w:w="4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8"/>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U.S. treasury notes</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165,302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25"/>
        </w:trPr>
        <w:tc>
          <w:tcPr>
            <w:tcW w:w="60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38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258,895</w:t>
            </w:r>
          </w:p>
        </w:tc>
        <w:tc>
          <w:tcPr>
            <w:tcW w:w="80" w:type="dxa"/>
            <w:vAlign w:val="bottom"/>
          </w:tcPr>
          <w:p>
            <w:pPr>
              <w:spacing w:after="0"/>
              <w:rPr>
                <w:sz w:val="19"/>
                <w:szCs w:val="19"/>
                <w:color w:val="auto"/>
              </w:rPr>
            </w:pPr>
          </w:p>
        </w:tc>
        <w:tc>
          <w:tcPr>
            <w:tcW w:w="40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60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Money market funds are cash equivalents and are included in cash and cash equivalents in the condensed consolidated balance sheet as of March 31, 2026 and December 31, 2025.</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12" w:name="page13"/>
    <w:bookmarkEnd w:id="1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hanging="317"/>
        <w:spacing w:after="0"/>
        <w:tabs>
          <w:tab w:leader="none" w:pos="32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Prepaid expenses and other current assets</w:t>
      </w:r>
    </w:p>
    <w:p>
      <w:pPr>
        <w:spacing w:after="0" w:line="195"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Prepaid expenses and other assets consist of the following (in thousands):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7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7"/>
                <w:szCs w:val="17"/>
                <w:color w:val="auto"/>
              </w:rPr>
            </w:pPr>
          </w:p>
        </w:tc>
        <w:tc>
          <w:tcPr>
            <w:tcW w:w="136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1"/>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receivables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r>
      <w:tr>
        <w:trPr>
          <w:trHeight w:val="232"/>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w:t>
            </w:r>
          </w:p>
        </w:tc>
      </w:tr>
      <w:tr>
        <w:trPr>
          <w:trHeight w:val="25"/>
        </w:trPr>
        <w:tc>
          <w:tcPr>
            <w:tcW w:w="7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38"/>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financing costs</w:t>
            </w:r>
          </w:p>
        </w:tc>
        <w:tc>
          <w:tcPr>
            <w:tcW w:w="2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32"/>
        </w:trPr>
        <w:tc>
          <w:tcPr>
            <w:tcW w:w="754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5"/>
        </w:trPr>
        <w:tc>
          <w:tcPr>
            <w:tcW w:w="7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76"/>
        </w:trPr>
        <w:tc>
          <w:tcPr>
            <w:tcW w:w="7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prepaid and other current assets</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2,757</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320" w:hanging="317"/>
        <w:spacing w:after="0"/>
        <w:tabs>
          <w:tab w:leader="none" w:pos="32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Property and Equipment, Net</w:t>
      </w:r>
    </w:p>
    <w:p>
      <w:pPr>
        <w:spacing w:after="0" w:line="182"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Property and equipment, net consist of the following (in thousands):</w:t>
      </w:r>
    </w:p>
    <w:p>
      <w:pPr>
        <w:spacing w:after="0" w:line="239"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200" w:type="dxa"/>
            <w:vAlign w:val="bottom"/>
          </w:tcPr>
          <w:p>
            <w:pPr>
              <w:spacing w:after="0"/>
              <w:rPr>
                <w:sz w:val="17"/>
                <w:szCs w:val="17"/>
                <w:color w:val="auto"/>
              </w:rPr>
            </w:pPr>
          </w:p>
        </w:tc>
        <w:tc>
          <w:tcPr>
            <w:tcW w:w="142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27"/>
        </w:trPr>
        <w:tc>
          <w:tcPr>
            <w:tcW w:w="7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55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7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Lab equipment</w:t>
            </w: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w:t>
            </w:r>
          </w:p>
        </w:tc>
      </w:tr>
      <w:tr>
        <w:trPr>
          <w:trHeight w:val="23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Manufacturing equipment</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7,582</w:t>
            </w:r>
          </w:p>
        </w:tc>
      </w:tr>
      <w:tr>
        <w:trPr>
          <w:trHeight w:val="25"/>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Office equipment</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r>
      <w:tr>
        <w:trPr>
          <w:trHeight w:val="23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15,418</w:t>
            </w:r>
          </w:p>
        </w:tc>
      </w:tr>
      <w:tr>
        <w:trPr>
          <w:trHeight w:val="25"/>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w:t>
            </w:r>
          </w:p>
        </w:tc>
        <w:tc>
          <w:tcPr>
            <w:tcW w:w="30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w:t>
            </w:r>
          </w:p>
        </w:tc>
      </w:tr>
      <w:tr>
        <w:trPr>
          <w:trHeight w:val="232"/>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Land improvements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25"/>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Total property and equipment, cost</w:t>
            </w:r>
          </w:p>
        </w:tc>
        <w:tc>
          <w:tcPr>
            <w:tcW w:w="3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27,460</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26,901</w:t>
            </w:r>
          </w:p>
        </w:tc>
      </w:tr>
      <w:tr>
        <w:trPr>
          <w:trHeight w:val="25"/>
        </w:trPr>
        <w:tc>
          <w:tcPr>
            <w:tcW w:w="7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8"/>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impairment</w:t>
            </w:r>
          </w:p>
        </w:tc>
        <w:tc>
          <w:tcPr>
            <w:tcW w:w="3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(14,109)</w:t>
            </w:r>
          </w:p>
        </w:tc>
      </w:tr>
      <w:tr>
        <w:trPr>
          <w:trHeight w:val="225"/>
        </w:trPr>
        <w:tc>
          <w:tcPr>
            <w:tcW w:w="7400" w:type="dxa"/>
            <w:vAlign w:val="bottom"/>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30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12,504</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12,792</w:t>
            </w:r>
          </w:p>
        </w:tc>
      </w:tr>
      <w:tr>
        <w:trPr>
          <w:trHeight w:val="25"/>
        </w:trPr>
        <w:tc>
          <w:tcPr>
            <w:tcW w:w="7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7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Company recorded depreciation and amortization expense of $0.8 million and $0.7 million for the three months ended March 31, 2026 and 2025, respectively.</w:t>
      </w:r>
    </w:p>
    <w:p>
      <w:pPr>
        <w:spacing w:after="0" w:line="11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Management has reviewed its property and equipment for impairment whenever events and circumstances indicate that the carrying value of an asset might not be recoverable. During the three months ended March 31, 2026, impairment losses were immaterial. During the three months ended March 31, 2025, no impairment losses were recorded. Impairment losses are charged to research and development expenses in the condensed consolidated statement of operations. Fair value for the idle assets was determined by a quoted purchase price for the assets.</w:t>
      </w:r>
    </w:p>
    <w:p>
      <w:pPr>
        <w:spacing w:after="0" w:line="129" w:lineRule="exact"/>
        <w:rPr>
          <w:sz w:val="20"/>
          <w:szCs w:val="20"/>
          <w:color w:val="auto"/>
        </w:rPr>
      </w:pPr>
    </w:p>
    <w:p>
      <w:pPr>
        <w:ind w:left="320" w:hanging="317"/>
        <w:spacing w:after="0"/>
        <w:tabs>
          <w:tab w:leader="none" w:pos="32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Expenses and Other Current Liabilities</w:t>
      </w:r>
    </w:p>
    <w:p>
      <w:pPr>
        <w:spacing w:after="0" w:line="195"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Accrued expenses and other current liabilities consist of the following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20" w:type="dxa"/>
            <w:vAlign w:val="bottom"/>
          </w:tcPr>
          <w:p>
            <w:pPr>
              <w:spacing w:after="0"/>
              <w:rPr>
                <w:sz w:val="17"/>
                <w:szCs w:val="17"/>
                <w:color w:val="auto"/>
              </w:rPr>
            </w:pPr>
          </w:p>
        </w:tc>
        <w:tc>
          <w:tcPr>
            <w:tcW w:w="44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80" w:type="dxa"/>
            <w:vAlign w:val="bottom"/>
          </w:tcPr>
          <w:p>
            <w:pPr>
              <w:spacing w:after="0"/>
              <w:rPr>
                <w:sz w:val="17"/>
                <w:szCs w:val="17"/>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32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bonuses and related benefits</w:t>
            </w:r>
          </w:p>
        </w:tc>
        <w:tc>
          <w:tcPr>
            <w:tcW w:w="3460" w:type="dxa"/>
            <w:vAlign w:val="bottom"/>
            <w:tcBorders>
              <w:bottom w:val="single" w:sz="8" w:color="CCEEFF"/>
            </w:tcBorders>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3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7,948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8"/>
        </w:trPr>
        <w:tc>
          <w:tcPr>
            <w:tcW w:w="32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3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7"/>
                <w:szCs w:val="17"/>
                <w:color w:val="auto"/>
              </w:rPr>
              <w:t>Total accrued expenses and other current liabilities</w:t>
            </w:r>
          </w:p>
        </w:tc>
        <w:tc>
          <w:tcPr>
            <w:tcW w:w="3200" w:type="dxa"/>
            <w:vAlign w:val="bottom"/>
          </w:tcPr>
          <w:p>
            <w:pPr>
              <w:spacing w:after="0"/>
              <w:rPr>
                <w:sz w:val="19"/>
                <w:szCs w:val="19"/>
                <w:color w:val="auto"/>
              </w:rPr>
            </w:pPr>
          </w:p>
        </w:tc>
        <w:tc>
          <w:tcPr>
            <w:tcW w:w="26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11,134</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0" w:type="dxa"/>
            <w:vAlign w:val="bottom"/>
            <w:vMerge w:val="restart"/>
          </w:tcPr>
          <w:p>
            <w:pPr>
              <w:jc w:val="right"/>
              <w:ind w:right="1914"/>
              <w:spacing w:after="0"/>
              <w:rPr>
                <w:sz w:val="20"/>
                <w:szCs w:val="20"/>
                <w:color w:val="auto"/>
              </w:rPr>
            </w:pPr>
            <w:r>
              <w:rPr>
                <w:rFonts w:ascii="Times New Roman" w:cs="Times New Roman" w:eastAsia="Times New Roman" w:hAnsi="Times New Roman"/>
                <w:sz w:val="17"/>
                <w:szCs w:val="17"/>
                <w:color w:val="auto"/>
              </w:rPr>
              <w:t>-10-</w:t>
            </w: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0" w:type="dxa"/>
            <w:vAlign w:val="bottom"/>
            <w:vMerge w:val="continue"/>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6"/>
        </w:trPr>
        <w:tc>
          <w:tcPr>
            <w:tcW w:w="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0" w:type="dxa"/>
            <w:vAlign w:val="bottom"/>
            <w:tcBorders>
              <w:bottom w:val="single" w:sz="8" w:color="9A9A9A"/>
            </w:tcBorders>
          </w:tcPr>
          <w:p>
            <w:pPr>
              <w:spacing w:after="0"/>
              <w:rPr>
                <w:sz w:val="9"/>
                <w:szCs w:val="9"/>
                <w:color w:val="auto"/>
              </w:rPr>
            </w:pPr>
          </w:p>
        </w:tc>
        <w:tc>
          <w:tcPr>
            <w:tcW w:w="440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right="8500" w:hanging="317"/>
        <w:spacing w:after="0" w:line="466" w:lineRule="auto"/>
        <w:tabs>
          <w:tab w:leader="none" w:pos="32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Lease Obligations</w:t>
      </w:r>
    </w:p>
    <w:p>
      <w:pPr>
        <w:spacing w:after="0" w:line="1"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i w:val="1"/>
          <w:iCs w:val="1"/>
          <w:color w:val="auto"/>
        </w:rPr>
        <w:t>New York Headquarters Lease</w:t>
      </w:r>
    </w:p>
    <w:p>
      <w:pPr>
        <w:spacing w:after="0" w:line="18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September 2019, the Company commenced a sub-lease of approximately 6,000 square feet of office space for the corporate headquarters in New York, New York with a term expiring in June 2023.</w:t>
      </w:r>
    </w:p>
    <w:p>
      <w:pPr>
        <w:spacing w:after="0" w:line="12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July 2021, the sublessor was released from the original lease by the landlord, and the Company attorned to the landlord the executory terms and provisions of the sub-lease. In February 2022, the Company entered into an extension of the New York office lease (retroactive to December 2021) through June 2026. In November 2025, the Company entered into a second amendment of the lease, extending the New York office lease through January 2028, with decreased monthly lease payments of approximately $0.03 million. As a result, the Company recorded an additional operating right-of-use asset of approximately $0.4 million and an additional operating lease liability of approximately $0.4 million.</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Houston Lease</w:t>
      </w:r>
    </w:p>
    <w:p>
      <w:pPr>
        <w:spacing w:after="0" w:line="18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August 2019, the Company entered into an agreement to lease approximately 26,905 square feet in Houston, Texas to build a manufacturing facility and office with a term expiring in August 2029. The Company has the option to renew the lease term for two additional five-year terms. The renewal periods were not included in the lease term for purposes of determining the lease liability or right-of-use asset. Monthly rent payments were approximately $0.03 million. In connection with the lease, the Company paid a security deposit of approximately $0.04 million.</w:t>
      </w:r>
    </w:p>
    <w:p>
      <w:pPr>
        <w:spacing w:after="0" w:line="14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September 2020, the Company amended the lease agreement to further increase the rentable space to 42,342 square feet. The commencement date of the expansion space lease was January 1, 2021 and the monthly rent payments increased to a range of approximately $0.05 million to $0.06 million.</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Blaine Lease in Seattle</w:t>
      </w:r>
    </w:p>
    <w:p>
      <w:pPr>
        <w:spacing w:after="0" w:line="182"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As a result of the reverse merger, the Company assumed an operating lease for approximately 33,300 square feet of office space in Seattle, Washington for offices, a laboratory for research and development, and related uses. The lease expires on February 1, 2029, with the option to extend the lease for two five-year terms. The renewal periods were not included in the lease term for purposes of determining the lease liability or right-of-use asset.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Eastlake Lease in Seattle</w:t>
      </w:r>
    </w:p>
    <w:p>
      <w:pPr>
        <w:spacing w:after="0" w:line="182"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As a result of the reverse merger, the Company assumed an operating lease for approximately 6,272 square feet of office space in Seattle, Washington for additional office and laboratory space for research and development and related uses (the “Eastlake Lease”). The lease expires on September 30, 2026. The Company also assumed the existing agreement to sublease the Eastlake Lease to an unrelated third party (“Eastlake Sublease”). Pursuant to the terms of the Eastlake Sublease, Neurogene is entitled to receive approximately $1.6 million in lease payments. The Company recorded sublease income of $0.1 million for the three months ended March 31, 2026 and 2025 and is included in other income in the statement of operations. The term of the sublease is through September 30, 2026.</w:t>
      </w:r>
    </w:p>
    <w:p>
      <w:pPr>
        <w:spacing w:after="0" w:line="3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Supplemental lease expense for the three months ended March 31, 2026 and 2025 was as follows (in thousands):</w:t>
      </w:r>
    </w:p>
    <w:p>
      <w:pPr>
        <w:spacing w:after="0" w:line="239"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22860</wp:posOffset>
            </wp:positionV>
            <wp:extent cx="17926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4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2026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49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Finance lease cost</w:t>
            </w:r>
          </w:p>
        </w:tc>
        <w:tc>
          <w:tcPr>
            <w:tcW w:w="4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Amortization of finance leases</w:t>
            </w:r>
          </w:p>
        </w:tc>
        <w:tc>
          <w:tcPr>
            <w:tcW w:w="40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3980" w:type="dxa"/>
            <w:vAlign w:val="bottom"/>
          </w:tcPr>
          <w:p>
            <w:pPr>
              <w:ind w:left="300"/>
              <w:spacing w:after="0"/>
              <w:rPr>
                <w:sz w:val="20"/>
                <w:szCs w:val="20"/>
                <w:color w:val="auto"/>
              </w:rPr>
            </w:pPr>
            <w:r>
              <w:rPr>
                <w:rFonts w:ascii="Times New Roman" w:cs="Times New Roman" w:eastAsia="Times New Roman" w:hAnsi="Times New Roman"/>
                <w:sz w:val="17"/>
                <w:szCs w:val="17"/>
                <w:color w:val="auto"/>
              </w:rPr>
              <w:t>Interest on finance lease liabilities</w:t>
            </w:r>
          </w:p>
        </w:tc>
        <w:tc>
          <w:tcPr>
            <w:tcW w:w="4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20" w:type="dxa"/>
            <w:vAlign w:val="bottom"/>
          </w:tcPr>
          <w:p>
            <w:pPr>
              <w:spacing w:after="0"/>
              <w:rPr>
                <w:sz w:val="20"/>
                <w:szCs w:val="20"/>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Variable lease cost</w:t>
            </w:r>
          </w:p>
        </w:tc>
        <w:tc>
          <w:tcPr>
            <w:tcW w:w="40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7"/>
                <w:szCs w:val="17"/>
                <w:color w:val="auto"/>
              </w:rPr>
              <w:t>Short-term lease cost</w:t>
            </w:r>
          </w:p>
        </w:tc>
        <w:tc>
          <w:tcPr>
            <w:tcW w:w="40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39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320" w:type="dxa"/>
            <w:vAlign w:val="bottom"/>
          </w:tcPr>
          <w:p>
            <w:pPr>
              <w:spacing w:after="0"/>
              <w:rPr>
                <w:sz w:val="23"/>
                <w:szCs w:val="23"/>
                <w:color w:val="auto"/>
              </w:rPr>
            </w:pPr>
          </w:p>
        </w:tc>
        <w:tc>
          <w:tcPr>
            <w:tcW w:w="3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lease cost</w:t>
            </w:r>
          </w:p>
        </w:tc>
        <w:tc>
          <w:tcPr>
            <w:tcW w:w="4960" w:type="dxa"/>
            <w:vAlign w:val="bottom"/>
            <w:tcBorders>
              <w:bottom w:val="single" w:sz="8" w:color="CCEEFF"/>
            </w:tcBorders>
            <w:gridSpan w:val="2"/>
            <w:shd w:val="clear" w:color="auto" w:fill="CCEEFF"/>
          </w:tcPr>
          <w:p>
            <w:pPr>
              <w:jc w:val="right"/>
              <w:ind w:right="840"/>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-11-</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3"/>
        </w:trPr>
        <w:tc>
          <w:tcPr>
            <w:tcW w:w="3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0" w:type="dxa"/>
            <w:vAlign w:val="bottom"/>
            <w:tcBorders>
              <w:bottom w:val="single" w:sz="8" w:color="9A9A9A"/>
            </w:tcBorders>
          </w:tcPr>
          <w:p>
            <w:pPr>
              <w:spacing w:after="0"/>
              <w:rPr>
                <w:sz w:val="9"/>
                <w:szCs w:val="9"/>
                <w:color w:val="auto"/>
              </w:rPr>
            </w:pPr>
          </w:p>
        </w:tc>
        <w:tc>
          <w:tcPr>
            <w:tcW w:w="3980" w:type="dxa"/>
            <w:vAlign w:val="bottom"/>
            <w:tcBorders>
              <w:bottom w:val="single" w:sz="8" w:color="9A9A9A"/>
            </w:tcBorders>
          </w:tcPr>
          <w:p>
            <w:pPr>
              <w:spacing w:after="0"/>
              <w:rPr>
                <w:sz w:val="9"/>
                <w:szCs w:val="9"/>
                <w:color w:val="auto"/>
              </w:rPr>
            </w:pPr>
          </w:p>
        </w:tc>
        <w:tc>
          <w:tcPr>
            <w:tcW w:w="40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4" w:name="page15"/>
    <w:bookmarkEnd w:id="1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Lease CVR</w:t>
      </w:r>
    </w:p>
    <w:p>
      <w:pPr>
        <w:spacing w:after="0" w:line="19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Under the CVR Agreement, each CVR holder is eligible to receive certain net savings, if any, realized by June 30, 2029 in connection with certain legacy lease obligations (the “Lease CVR”). As of March 31, 2026, approximately $0.4 million was recorded as a component of the contingent value rights liability on the Company’s condensed consolidated balance sheet consisting of lease commitments that were probable and estimable at the Closing. The commitments relate to Neoleukin’s sublease agreement, effective October 31, 2023, for one of its properties with an unrelated third party for the remainder of the lease term.</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CVR</w:t>
      </w:r>
    </w:p>
    <w:p>
      <w:pPr>
        <w:spacing w:after="0" w:line="184"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 xml:space="preserve">Under the CVR Agreement, each CVR holder is eligible to receive 100% of the net proceeds, if any, derived from any consideration paid as a result of the disposition of Neoleukin’s pre-merger legacy assets pursuant any agreements entered into before the Closing, and 80% of net proceeds, if any, derived from any consideration paid as a result of the disposition of Neoleukin’s pre-merger legacy assets pursuant any agreements entered into within one year after the Closing (the “Intellectual Property CVR”). Contingent consideration liabilities related to the CVR Agreement will only be recorded if the liabilities are probable and estimable as of the balance sheet date. Refer to the </w:t>
      </w:r>
      <w:r>
        <w:rPr>
          <w:rFonts w:ascii="Times New Roman" w:cs="Times New Roman" w:eastAsia="Times New Roman" w:hAnsi="Times New Roman"/>
          <w:sz w:val="17"/>
          <w:szCs w:val="17"/>
          <w:i w:val="1"/>
          <w:iCs w:val="1"/>
          <w:color w:val="auto"/>
        </w:rPr>
        <w:t>December 2023 CVR Licensing Agreement and April 2024 CVR Licensing Agreement subsections</w:t>
      </w:r>
      <w:r>
        <w:rPr>
          <w:rFonts w:ascii="Times New Roman" w:cs="Times New Roman" w:eastAsia="Times New Roman" w:hAnsi="Times New Roman"/>
          <w:sz w:val="17"/>
          <w:szCs w:val="17"/>
          <w:color w:val="auto"/>
        </w:rPr>
        <w:t xml:space="preserve"> below for further detail on the current agreements related to the Company’s Intellectual Property CVR.</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December 2023 CVR Licensing Agreement</w:t>
      </w:r>
    </w:p>
    <w:p>
      <w:pPr>
        <w:spacing w:after="0" w:line="182"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Prior to the Closing, Neoleukin entered into a licensing agreement on December 13, 2023 with an unrelated third party to develop and commercialize certain legacy Neoleukin assets (the “December 2023 CVR Licensing Agreement”). In June 2024, an upfront payment of $0.2 million was received by the Company and was recorded as licensing revenue within the condensed consolidated statements of operations. Since the December 2023 CVR Licensing Agreement was entered into before the Closing, the CVR holders are eligible to receive 100% of the net proceeds derived from the December 2023 CVR Licensing Agreement. The December 2023 CVR Licensing Agreement contains development, regulatory and commercialization milestones totaling up to approximately $13.4 million, as well as royalty payments. However, as of March 31, 2026, no other development and sales milestones were achieved nor deemed probable of achievement under the December 2023 CVR Licensing Agreement.</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April 2024 CVR Licensing Agreement</w:t>
      </w:r>
    </w:p>
    <w:p>
      <w:pPr>
        <w:spacing w:after="0" w:line="195"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April 2024, the Company entered into a licensing and intellectual property assignment agreement with another unrelated third party to develop and commercialize certain legacy Neoleukin assets (the “April 2024 CVR Licensing Agreement”). In April 2024, the Company received a one-time upfront payment of approximately $0.8 million and reimbursement of $0.01 million for patent expenses under the April 2024 CVR Licensing Agreement. Accordingly, the Company recorded $0.8 million as licensing revenue within the condensed consolidated statements of operations. Since the April 2024 CVR Licensing Agreement was entered into within one year after the Closing, the CVR holders are eligible to receive 80% of the net proceeds derived from the April 2024 CVR Licensing Agreement. The April 2024 CVR Licensing Agreement contains development, regulatory and commercialization milestones totaling up to approximately $11.0 million, as well as royalty payments. However, as of March 31, 2026, no other development and sales milestones were achieved nor deemed probable of achievement under the April 2024 CVR Licensing Agreement.</w:t>
      </w:r>
    </w:p>
    <w:p>
      <w:pPr>
        <w:spacing w:after="0" w:line="13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December 2023 CVR Licensing Agreement and April 2024 CVR Licensing Agreement collectively account for the total Intellectual Property CVR. The total amount of $0.9 million due under the Intellectual Property CVR was offset by $0.4 million due to permitted deductions under the Merger Agreement and the remaining $0.5 million was paid to the CVR holders.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CVR Payments</w:t>
      </w:r>
    </w:p>
    <w:p>
      <w:pPr>
        <w:spacing w:after="0" w:line="19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August 2025, the Company made the second CVR payment to CVR holders of $0.8 million. $0.4 million was applied to the Sales Tax CVR and $0.4 million was applied to the Lease CVR, reducing the respective liabilities. In February 2026, the Company made the third CVR payment to CVR holders of $0.6 million. $0.3 million was applied to the Intellectual Property CVR and $0.3 million was applied to the Lease CVR.</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5" w:name="page16"/>
    <w:bookmarkEnd w:id="1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components of the contingent value rights liability in the condensed consolidated balance sheet as of March 31, 2026 and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2025 (in thousands):</w:t>
      </w:r>
    </w:p>
    <w:p>
      <w:pPr>
        <w:spacing w:after="0" w:line="222" w:lineRule="exact"/>
        <w:rPr>
          <w:sz w:val="20"/>
          <w:szCs w:val="20"/>
          <w:color w:val="auto"/>
        </w:rPr>
      </w:pPr>
    </w:p>
    <w:tbl>
      <w:tblPr>
        <w:tblLayout w:type="fixed"/>
        <w:tblInd w:w="240" w:type="dxa"/>
        <w:tblCellMar>
          <w:top w:w="0" w:type="dxa"/>
          <w:left w:w="0" w:type="dxa"/>
          <w:bottom w:w="0" w:type="dxa"/>
          <w:right w:w="0" w:type="dxa"/>
        </w:tblCellMar>
      </w:tblPr>
      <w:tr>
        <w:trPr>
          <w:trHeight w:val="227"/>
        </w:trPr>
        <w:tc>
          <w:tcPr>
            <w:tcW w:w="4720" w:type="dxa"/>
            <w:vAlign w:val="bottom"/>
          </w:tcPr>
          <w:p>
            <w:pPr>
              <w:spacing w:after="0"/>
              <w:rPr>
                <w:sz w:val="19"/>
                <w:szCs w:val="19"/>
                <w:color w:val="auto"/>
              </w:rPr>
            </w:pPr>
          </w:p>
        </w:tc>
        <w:tc>
          <w:tcPr>
            <w:tcW w:w="3160" w:type="dxa"/>
            <w:vAlign w:val="bottom"/>
            <w:gridSpan w:val="6"/>
          </w:tcPr>
          <w:p>
            <w:pPr>
              <w:ind w:left="9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60" w:type="dxa"/>
            <w:vAlign w:val="bottom"/>
          </w:tcPr>
          <w:p>
            <w:pPr>
              <w:spacing w:after="0"/>
              <w:rPr>
                <w:sz w:val="19"/>
                <w:szCs w:val="19"/>
                <w:color w:val="auto"/>
              </w:rPr>
            </w:pPr>
          </w:p>
        </w:tc>
        <w:tc>
          <w:tcPr>
            <w:tcW w:w="2780" w:type="dxa"/>
            <w:vAlign w:val="bottom"/>
            <w:gridSpan w:val="4"/>
          </w:tcPr>
          <w:p>
            <w:pPr>
              <w:jc w:val="right"/>
              <w:ind w:right="73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5"/>
        </w:trPr>
        <w:tc>
          <w:tcPr>
            <w:tcW w:w="47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4720" w:type="dxa"/>
            <w:vAlign w:val="bottom"/>
          </w:tcPr>
          <w:p>
            <w:pPr>
              <w:spacing w:after="0"/>
              <w:rPr>
                <w:sz w:val="19"/>
                <w:szCs w:val="19"/>
                <w:color w:val="auto"/>
              </w:rPr>
            </w:pPr>
          </w:p>
        </w:tc>
        <w:tc>
          <w:tcPr>
            <w:tcW w:w="114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26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80" w:type="dxa"/>
            <w:vAlign w:val="bottom"/>
          </w:tcPr>
          <w:p>
            <w:pPr>
              <w:spacing w:after="0"/>
              <w:rPr>
                <w:sz w:val="19"/>
                <w:szCs w:val="19"/>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Non-Current</w:t>
            </w:r>
          </w:p>
        </w:tc>
      </w:tr>
      <w:tr>
        <w:trPr>
          <w:trHeight w:val="25"/>
        </w:trPr>
        <w:tc>
          <w:tcPr>
            <w:tcW w:w="4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CVR</w:t>
            </w: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Intellectual Property CVR</w:t>
            </w:r>
          </w:p>
        </w:tc>
        <w:tc>
          <w:tcPr>
            <w:tcW w:w="1140" w:type="dxa"/>
            <w:vAlign w:val="bottom"/>
          </w:tcPr>
          <w:p>
            <w:pPr>
              <w:spacing w:after="0"/>
              <w:rPr>
                <w:sz w:val="20"/>
                <w:szCs w:val="20"/>
                <w:color w:val="auto"/>
              </w:rPr>
            </w:pPr>
          </w:p>
        </w:tc>
        <w:tc>
          <w:tcPr>
            <w:tcW w:w="4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7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6"/>
        </w:trPr>
        <w:tc>
          <w:tcPr>
            <w:tcW w:w="4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CVR liability</w:t>
            </w:r>
          </w:p>
        </w:tc>
        <w:tc>
          <w:tcPr>
            <w:tcW w:w="1140" w:type="dxa"/>
            <w:vAlign w:val="bottom"/>
            <w:tcBorders>
              <w:bottom w:val="single" w:sz="8" w:color="CCEEFF"/>
            </w:tcBorders>
            <w:shd w:val="clear" w:color="auto" w:fill="CCEEFF"/>
          </w:tcPr>
          <w:p>
            <w:pPr>
              <w:jc w:val="right"/>
              <w:ind w:right="954"/>
              <w:spacing w:after="0"/>
              <w:rPr>
                <w:sz w:val="20"/>
                <w:szCs w:val="20"/>
                <w:color w:val="auto"/>
              </w:rPr>
            </w:pPr>
            <w:r>
              <w:rPr>
                <w:rFonts w:ascii="Times New Roman" w:cs="Times New Roman" w:eastAsia="Times New Roman" w:hAnsi="Times New Roman"/>
                <w:sz w:val="17"/>
                <w:szCs w:val="17"/>
                <w:color w:val="auto"/>
                <w:w w:val="93"/>
              </w:rPr>
              <w:t>$</w:t>
            </w: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As per the CVR Agreement, the total amount owed to CVR holders, after deductions permitted under the Merger Agreement, must be at least $0.5 million to trigger a CVR payment prior to the end of the CVR term.</w:t>
      </w:r>
    </w:p>
    <w:p>
      <w:pPr>
        <w:spacing w:after="0" w:line="11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All other payments under the CVR Agreement were not considered probable and estimable as of March 31, 2026 and therefore, no additional contingent consideration liability has been recorded. The Company will evaluate the probable and estimable range of outcomes under the CVR Agreement at each reporting period until the end of the CVR term and adjust the amounts accrued for, as necessary.</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Employment Agreements</w:t>
      </w:r>
    </w:p>
    <w:p>
      <w:pPr>
        <w:spacing w:after="0" w:line="197"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Company has employment and consulting agreements with key personnel providing for compensation and severance in certain circumstances, as defined in the respective employment agreements.</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Other Research and Development Arrangements</w:t>
      </w:r>
    </w:p>
    <w:p>
      <w:pPr>
        <w:spacing w:after="0" w:line="184"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As of March 31, 2026, the Company had standing agreements with consultants, contractors or service providers that generally can be terminated by the Company with 30 to 60 days written notice, unless otherwise indicated.</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Litigation and Legal Proceedings</w:t>
      </w:r>
    </w:p>
    <w:p>
      <w:pPr>
        <w:spacing w:after="0" w:line="184"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Company is subject to litigation and other claims that arise in the ordinary course of business. While the ultimate result of outstanding legal matters cannot presently be determined, the Company does not expect that the ultimate disposition will have a material effect on its results of financial condition, results of operations or cash flows. However, legal matters are inherently unpredictable and subject to significant uncertainties, some of which are beyond the Company’s control. As such, there can be no assurance that the final outcome of any particular legal matter will not have a material adverse effect on the Company’s financial condition, results of operations or cash flows.</w:t>
      </w:r>
    </w:p>
    <w:p>
      <w:pPr>
        <w:spacing w:after="0" w:line="132" w:lineRule="exact"/>
        <w:rPr>
          <w:sz w:val="20"/>
          <w:szCs w:val="20"/>
          <w:color w:val="auto"/>
        </w:rPr>
      </w:pPr>
    </w:p>
    <w:p>
      <w:pPr>
        <w:ind w:left="300" w:hanging="297"/>
        <w:spacing w:after="0"/>
        <w:tabs>
          <w:tab w:leader="none" w:pos="3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Licenses</w:t>
      </w:r>
    </w:p>
    <w:p>
      <w:pPr>
        <w:spacing w:after="0" w:line="189"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Master Collaboration Agreement with The University of Edinburgh</w:t>
      </w:r>
    </w:p>
    <w:p>
      <w:pPr>
        <w:spacing w:after="0" w:line="18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December 2020, the Company entered into a Master Collaboration Agreement (the “MCA”) with the University of Edinburgh (the “University of Edinburgh”). Under the MCA, the Company and the University of Edinburgh agreed to collaborate on certain research and development projects (“Projects”), and the Company agreed to provide funding for such Projects for a 40-month initial term, which was extended in November 2023 for an additional 33 months and may be further extended by mutual agreement. Under the MCA, the Company is obligated to pay semi-annual installment payments relating to funding of costs for personnel and lab consumables for the duration of the MCA. Either party may terminate the MCA for convenience upon 90 days’ notice. If the Company were to terminate the MCA, the Company would be responsible for all non-cancellable costs and commitments related to any particular Project and any and all funding costs for any person working on such Project.</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6" w:name="page17"/>
    <w:bookmarkEnd w:id="1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The University of Edinburgh</w:t>
      </w:r>
    </w:p>
    <w:p>
      <w:pPr>
        <w:spacing w:after="0" w:line="197"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In March 2022, the Company exercised an option under the MCA with respect to certain Projects and entered into a License Agreement with the University of Edinburgh (the “March 2022 Edinburgh License Agreement”), pursuant to which the Company licensed certain patents and know-how related to the EXACT technology and optimized MECP2 cassettes on an exclusive basis. Under the March 2022 Edinburgh License Agreement, the Company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Product-by-Licensed Product and country-by-country basis until the later of the expiration of the last licensed patent covering such Licensed Product in the country where the Licensed Product is sold, or, if no licensed patent exists or has expired in such country, then 10 years from first commercial sale of such Licensed Product in such country (the “Royalty Term”). The term of the March 2022 Edinburgh License Agreement continues until the end of the Royalty Term and the expiration of all of the payment obligations under that license. The Company may terminate the March 2022 Edinburgh License Agreement for convenience upon 90 days’ notice. In connection with the license, the Company is also obligated to pay the University of Edinburgh up to $5.3 million in regulatory-related milestones, of which $0.3 million has been paid in connection with the Phase 1/2 study. The remaining regulatory milestone payments consist of $2.0 million payable upon achievement of the first regulatory approval (FDA or European Medicines Agency (“EMA”)) and $3.0 million payable upon achievement of the second regulatory approval (FDA or EMA). In addition, the Company may be obligated to make up to $25.0 million of sales-related milestone payments based on annual net sales of Licensed Products in excess of defined thresholds.</w:t>
      </w:r>
    </w:p>
    <w:p>
      <w:pPr>
        <w:spacing w:after="0" w:line="148"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2026 and 2025, the expense recorded by the Company related to the MCA was $0.4 million and $0.4 million, respectively.</w:t>
      </w:r>
    </w:p>
    <w:p>
      <w:pPr>
        <w:spacing w:after="0" w:line="1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Virovek</w:t>
      </w:r>
    </w:p>
    <w:p>
      <w:pPr>
        <w:spacing w:after="0" w:line="19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In September 2020, the Company entered into a Non-Exclusive License Agreement with Virovek, Inc., pursuant to which the Company has a license to use certain patents and know-how on a non-exclusive basis related to the Company’s baculovirus process in exchange for low single-digit percentage royalties on future commercial net sales of each product using the baculovirus process, development milestone payments of up to $0.2 million in the aggregate, and a nonrefundable annual license fee. This agreement continues until the later of (i) the expiration of the last to expire patent right that covers the manufacture, use, offer for sale, sale, importation, export or supply of any licensed product, (ii) ten years after the first commercial sale of any licensed product, or (iii) the expiration of all regulatory or market exclusivities. The Company may terminate this agreement for convenience upon 60 days notice. During the three months ended March 31, 2026 and 2025, no milestone expense was recorded.</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Sigma-Aldrich Co</w:t>
      </w:r>
    </w:p>
    <w:p>
      <w:pPr>
        <w:spacing w:after="0" w:line="184"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In January 2023, the Company entered into a Non-Exclusive License Agreement with Sigma-Aldrich Co. LLC, pursuant to which the Company has a license to certain patents and know-how on a non-exclusive basis related to certain cell lines used in the Company’s baculovirus process in exchange for a small annual fee on a product-by-product basis, payable once the first product candidate enters the clinic. In addition, on a product-by-product basis, the Company is obligated to pay up to $2.5 million in the aggregate for regulatory-related milestones. This agreement remains in force for as long as the Company continues to possess and use the licensed technology. The Company may terminate this agreement for convenience upon 60 days’ notice. During the three months ended March 31, 2026 and 2025, no milestone expense was recorded.</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License Agreement with Stanford</w:t>
      </w:r>
    </w:p>
    <w:p>
      <w:pPr>
        <w:spacing w:after="0" w:line="184"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7"/>
          <w:szCs w:val="17"/>
          <w:color w:val="auto"/>
        </w:rPr>
        <w:t>In August 2024, the Company entered into a Non-Exclusive License Agreement with the Board of Trustees of Leland Stanford Junior University (the “Stanford License Agreement”) to license, on a non-exclusive basis, certain biological materials used in the manufacturing process of the Company’s product candidates, including NGN-401. Over the 10-year term of the Stanford License Agreement, the Company is obligated to pay an annual license maintenance fee. The Company may terminate this agreement for convenience upon 30 days’ notice. During the three months ended March 31, 2026 and 2025, no milestone expense was recorded.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00" w:hanging="297"/>
        <w:spacing w:after="0"/>
        <w:tabs>
          <w:tab w:leader="none" w:pos="300" w:val="left"/>
        </w:tabs>
        <w:numPr>
          <w:ilvl w:val="0"/>
          <w:numId w:val="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Stockholders’ Equity</w:t>
      </w:r>
    </w:p>
    <w:p>
      <w:pPr>
        <w:spacing w:after="0" w:line="189"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i w:val="1"/>
          <w:iCs w:val="1"/>
          <w:color w:val="auto"/>
        </w:rPr>
        <w:t>Common stock and pre-funded warrants</w:t>
      </w:r>
    </w:p>
    <w:p>
      <w:pPr>
        <w:spacing w:after="0" w:line="18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April 2025, the Company entered into an exchange agreement with existing stockholders to exchange an aggregate of 667,500 shares of the Company’s common stock for pre-funded warrants to purchase an aggregate of 667,563 shares of the Company’s common stock at an exercise price of $0.001 per share. The exchange was executed to facilitate the investor’s beneficial ownership thresholds. The exchange was accounted for as an equity-for-equity transaction. The Company derecognized the common shares and recognized an equivalent value in pre-funded warrants, with no gain or loss recognized.</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At-The-Market offering of shares</w:t>
      </w:r>
    </w:p>
    <w:p>
      <w:pPr>
        <w:spacing w:after="0" w:line="19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August 2025, the Company entered into an at-the-market (“ATM”) sales agreement (the “Sales Agreement”) with Leerink Partners, LLC (“Leerink”), as sales agent, pursuant to which the Company may offer and sell, from time to time, shares of the Company’s common stock with an aggregate price up to $150.0 million through Leerink.</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 connection with the Sales Agreement, the Company incurred approximately $0.9 million of offering costs of which the Company deferred $0.2 million.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deferred offering costs will be ratably recognized as a reduction to additional paid-in-capital as shares are sold under the Sales Agreement.</w:t>
      </w:r>
    </w:p>
    <w:p>
      <w:pPr>
        <w:spacing w:after="0" w:line="16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During the year ended December 31, 2025, the Company sold 1,200,000 shares of the Company’s common stock pursuant to the Sales Agreement, and received $30.1 million in net proceeds after deducting commissions and other offering expenses. No sales occurred during the three months ended March 31, 2026.</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8" w:name="page19"/>
    <w:bookmarkEnd w:id="1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Pre-funded warrants</w:t>
      </w:r>
    </w:p>
    <w:p>
      <w:pPr>
        <w:spacing w:after="0" w:line="19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The Company has pre-funded warrants outstanding to purchase an aggregate of 6,792,559 shares of the Company’s common stock as of March 31, 2026. The pre-funded warrants are exercisable at any time for exercise prices ranging from $0.000001 to $0.001, except that the pre-funded warrants cannot be exercised by a holder if, after giving effect thereto, such holder would beneficially own more than 9.99% of the Company’s outstanding common stock, subject to certain exceptions. However, any holder may increase or decrease such percentage to any other percentage (not in excess of 19.99%) upon at least 61 days’ prior notice from the holder to the Company. The holders of the pre-funded warrants will not have the right to vote the shares underlying the pre-funded warrants on any matter except to the extent required by Delaware law. Information on the outstanding warrants is as follows:</w:t>
      </w:r>
    </w:p>
    <w:p>
      <w:pPr>
        <w:spacing w:after="0" w:line="182"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3380" w:type="dxa"/>
            <w:vAlign w:val="bottom"/>
            <w:gridSpan w:val="2"/>
          </w:tcPr>
          <w:p>
            <w:pPr>
              <w:ind w:left="1460"/>
              <w:spacing w:after="0"/>
              <w:rPr>
                <w:sz w:val="20"/>
                <w:szCs w:val="20"/>
                <w:color w:val="auto"/>
              </w:rPr>
            </w:pPr>
            <w:r>
              <w:rPr>
                <w:rFonts w:ascii="Times New Roman" w:cs="Times New Roman" w:eastAsia="Times New Roman" w:hAnsi="Times New Roman"/>
                <w:sz w:val="17"/>
                <w:szCs w:val="17"/>
                <w:b w:val="1"/>
                <w:bCs w:val="1"/>
                <w:color w:val="auto"/>
              </w:rPr>
              <w:t>Type</w:t>
            </w: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104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100" w:type="dxa"/>
            <w:vAlign w:val="bottom"/>
          </w:tcPr>
          <w:p>
            <w:pPr>
              <w:spacing w:after="0"/>
              <w:rPr>
                <w:sz w:val="19"/>
                <w:szCs w:val="19"/>
                <w:color w:val="auto"/>
              </w:rPr>
            </w:pPr>
          </w:p>
        </w:tc>
        <w:tc>
          <w:tcPr>
            <w:tcW w:w="4720" w:type="dxa"/>
            <w:vAlign w:val="bottom"/>
          </w:tcPr>
          <w:p>
            <w:pPr>
              <w:ind w:left="1700"/>
              <w:spacing w:after="0"/>
              <w:rPr>
                <w:sz w:val="20"/>
                <w:szCs w:val="20"/>
                <w:color w:val="auto"/>
              </w:rPr>
            </w:pPr>
            <w:r>
              <w:rPr>
                <w:rFonts w:ascii="Times New Roman" w:cs="Times New Roman" w:eastAsia="Times New Roman" w:hAnsi="Times New Roman"/>
                <w:sz w:val="17"/>
                <w:szCs w:val="17"/>
                <w:b w:val="1"/>
                <w:bCs w:val="1"/>
                <w:color w:val="auto"/>
              </w:rPr>
              <w:t>Type of Financing</w:t>
            </w:r>
          </w:p>
        </w:tc>
      </w:tr>
      <w:tr>
        <w:trPr>
          <w:trHeight w:val="25"/>
        </w:trPr>
        <w:tc>
          <w:tcPr>
            <w:tcW w:w="3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r>
      <w:tr>
        <w:trPr>
          <w:trHeight w:val="231"/>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pre-funded warrant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0.000001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425,987</w:t>
            </w:r>
          </w:p>
        </w:tc>
        <w:tc>
          <w:tcPr>
            <w:tcW w:w="10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Legacy pre-funded warrants outstanding</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 pre-funded warrant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0.000001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1,708,332</w:t>
            </w: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December 2023 preferred stock conversion</w:t>
            </w:r>
          </w:p>
        </w:tc>
      </w:tr>
      <w:tr>
        <w:trPr>
          <w:trHeight w:val="25"/>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38"/>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pre-funded warrant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0.000001</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1,825,635</w:t>
            </w:r>
          </w:p>
        </w:tc>
        <w:tc>
          <w:tcPr>
            <w:tcW w:w="100" w:type="dxa"/>
            <w:vAlign w:val="bottom"/>
            <w:tcBorders>
              <w:bottom w:val="single" w:sz="8" w:color="CCEEFF"/>
            </w:tcBorders>
            <w:shd w:val="clear" w:color="auto" w:fill="CCEEFF"/>
          </w:tcPr>
          <w:p>
            <w:pPr>
              <w:spacing w:after="0"/>
              <w:rPr>
                <w:sz w:val="20"/>
                <w:szCs w:val="20"/>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December 2023 Pre-Closing Financing</w:t>
            </w:r>
          </w:p>
        </w:tc>
      </w:tr>
      <w:tr>
        <w:trPr>
          <w:trHeight w:val="232"/>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Common stock pre-funded warrant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0.001</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2,165,042</w:t>
            </w: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7"/>
                <w:szCs w:val="17"/>
                <w:color w:val="auto"/>
              </w:rPr>
              <w:t>November 2024 private placement</w:t>
            </w:r>
          </w:p>
        </w:tc>
      </w:tr>
      <w:tr>
        <w:trPr>
          <w:trHeight w:val="25"/>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r>
      <w:tr>
        <w:trPr>
          <w:trHeight w:val="258"/>
        </w:trPr>
        <w:tc>
          <w:tcPr>
            <w:tcW w:w="3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pre-funded warrant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0.001</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667,563</w:t>
            </w:r>
          </w:p>
        </w:tc>
        <w:tc>
          <w:tcPr>
            <w:tcW w:w="10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April 2025 common stock conversion</w:t>
            </w:r>
          </w:p>
        </w:tc>
      </w:tr>
      <w:tr>
        <w:trPr>
          <w:trHeight w:val="225"/>
        </w:trPr>
        <w:tc>
          <w:tcPr>
            <w:tcW w:w="33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6,792,559</w:t>
            </w:r>
          </w:p>
        </w:tc>
        <w:tc>
          <w:tcPr>
            <w:tcW w:w="100" w:type="dxa"/>
            <w:vAlign w:val="bottom"/>
          </w:tcPr>
          <w:p>
            <w:pPr>
              <w:spacing w:after="0"/>
              <w:rPr>
                <w:sz w:val="19"/>
                <w:szCs w:val="19"/>
                <w:color w:val="auto"/>
              </w:rPr>
            </w:pPr>
          </w:p>
        </w:tc>
        <w:tc>
          <w:tcPr>
            <w:tcW w:w="4720" w:type="dxa"/>
            <w:vAlign w:val="bottom"/>
          </w:tcPr>
          <w:p>
            <w:pPr>
              <w:spacing w:after="0"/>
              <w:rPr>
                <w:sz w:val="19"/>
                <w:szCs w:val="19"/>
                <w:color w:val="auto"/>
              </w:rPr>
            </w:pPr>
          </w:p>
        </w:tc>
      </w:tr>
    </w:tbl>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223"/>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Company had reserved shares of the Company’s common stock for future issuance as follows:</w:t>
            </w:r>
          </w:p>
        </w:tc>
        <w:tc>
          <w:tcPr>
            <w:tcW w:w="1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541"/>
        </w:trPr>
        <w:tc>
          <w:tcPr>
            <w:tcW w:w="6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7"/>
                <w:szCs w:val="17"/>
                <w:b w:val="1"/>
                <w:bCs w:val="1"/>
                <w:color w:val="auto"/>
              </w:rPr>
              <w:t>March 31,</w:t>
            </w:r>
          </w:p>
        </w:tc>
        <w:tc>
          <w:tcPr>
            <w:tcW w:w="194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9"/>
        </w:trPr>
        <w:tc>
          <w:tcPr>
            <w:tcW w:w="67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31"/>
        </w:trPr>
        <w:tc>
          <w:tcPr>
            <w:tcW w:w="6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40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296,578</w:t>
            </w:r>
          </w:p>
        </w:tc>
        <w:tc>
          <w:tcPr>
            <w:tcW w:w="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256,361</w:t>
            </w:r>
          </w:p>
        </w:tc>
      </w:tr>
      <w:tr>
        <w:trPr>
          <w:trHeight w:val="232"/>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Unvested performance stock units</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252,124</w:t>
            </w:r>
          </w:p>
        </w:tc>
        <w:tc>
          <w:tcPr>
            <w:tcW w:w="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252,124</w:t>
            </w:r>
          </w:p>
        </w:tc>
      </w:tr>
      <w:tr>
        <w:trPr>
          <w:trHeight w:val="25"/>
        </w:trPr>
        <w:tc>
          <w:tcPr>
            <w:tcW w:w="6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8"/>
        </w:trPr>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outstanding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2,820,038</w:t>
            </w:r>
          </w:p>
        </w:tc>
        <w:tc>
          <w:tcPr>
            <w:tcW w:w="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2,088,550</w:t>
            </w:r>
          </w:p>
        </w:tc>
      </w:tr>
      <w:tr>
        <w:trPr>
          <w:trHeight w:val="232"/>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available for future grant under the 2023 Equity Incentive Plan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1,301,337</w:t>
            </w:r>
          </w:p>
        </w:tc>
        <w:tc>
          <w:tcPr>
            <w:tcW w:w="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1,277,826</w:t>
            </w:r>
          </w:p>
        </w:tc>
      </w:tr>
      <w:tr>
        <w:trPr>
          <w:trHeight w:val="25"/>
        </w:trPr>
        <w:tc>
          <w:tcPr>
            <w:tcW w:w="6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8"/>
        </w:trPr>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Shares available for future grant under the 2025 Inducement Plan</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362,460</w:t>
            </w:r>
          </w:p>
        </w:tc>
        <w:tc>
          <w:tcPr>
            <w:tcW w:w="8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394,055</w:t>
            </w:r>
          </w:p>
        </w:tc>
      </w:tr>
      <w:tr>
        <w:trPr>
          <w:trHeight w:val="232"/>
        </w:trPr>
        <w:tc>
          <w:tcPr>
            <w:tcW w:w="71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Shares available for future issuance under the 2023 Employee Stock Purchase Plan</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535,911</w:t>
            </w:r>
          </w:p>
        </w:tc>
        <w:tc>
          <w:tcPr>
            <w:tcW w:w="8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313,088</w:t>
            </w:r>
          </w:p>
        </w:tc>
      </w:tr>
      <w:tr>
        <w:trPr>
          <w:trHeight w:val="25"/>
        </w:trPr>
        <w:tc>
          <w:tcPr>
            <w:tcW w:w="6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8"/>
        </w:trPr>
        <w:tc>
          <w:tcPr>
            <w:tcW w:w="7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Pre-funded warrants outstanding</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6,792,559</w:t>
            </w:r>
          </w:p>
        </w:tc>
        <w:tc>
          <w:tcPr>
            <w:tcW w:w="8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6,792,559</w:t>
            </w:r>
          </w:p>
        </w:tc>
      </w:tr>
      <w:tr>
        <w:trPr>
          <w:trHeight w:val="225"/>
        </w:trPr>
        <w:tc>
          <w:tcPr>
            <w:tcW w:w="6780" w:type="dxa"/>
            <w:vAlign w:val="bottom"/>
          </w:tcPr>
          <w:p>
            <w:pPr>
              <w:spacing w:after="0"/>
              <w:rPr>
                <w:sz w:val="20"/>
                <w:szCs w:val="20"/>
                <w:color w:val="auto"/>
              </w:rPr>
            </w:pPr>
            <w:r>
              <w:rPr>
                <w:rFonts w:ascii="Times New Roman" w:cs="Times New Roman" w:eastAsia="Times New Roman" w:hAnsi="Times New Roman"/>
                <w:sz w:val="17"/>
                <w:szCs w:val="17"/>
                <w:color w:val="auto"/>
              </w:rPr>
              <w:t>Total common stock reserved</w:t>
            </w:r>
          </w:p>
        </w:tc>
        <w:tc>
          <w:tcPr>
            <w:tcW w:w="4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12,361,007</w:t>
            </w:r>
          </w:p>
        </w:tc>
        <w:tc>
          <w:tcPr>
            <w:tcW w:w="8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11,374,563</w:t>
            </w:r>
          </w:p>
        </w:tc>
      </w:tr>
      <w:tr>
        <w:trPr>
          <w:trHeight w:val="25"/>
        </w:trPr>
        <w:tc>
          <w:tcPr>
            <w:tcW w:w="6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
        </w:trPr>
        <w:tc>
          <w:tcPr>
            <w:tcW w:w="67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Stock-Based Compensation</w:t>
      </w:r>
    </w:p>
    <w:p>
      <w:pPr>
        <w:spacing w:after="0" w:line="19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March 2025, the Company’s board of directors approved the Neurogene Inc. 2025 Inducement Plan, which reserves for issuance up to 500,000 shares of the Company’s common stock underlying inducement awards.</w:t>
      </w:r>
    </w:p>
    <w:p>
      <w:pPr>
        <w:spacing w:after="0" w:line="11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condensed consolidated statements of operations (in thousands):</w:t>
      </w:r>
    </w:p>
    <w:p>
      <w:pPr>
        <w:spacing w:after="0" w:line="174"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820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22860</wp:posOffset>
            </wp:positionV>
            <wp:extent cx="17926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49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2026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 w:type="dxa"/>
            <w:vAlign w:val="bottom"/>
          </w:tcPr>
          <w:p>
            <w:pPr>
              <w:spacing w:after="0"/>
              <w:rPr>
                <w:sz w:val="20"/>
                <w:szCs w:val="20"/>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496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expenses</w:t>
            </w:r>
          </w:p>
        </w:tc>
        <w:tc>
          <w:tcPr>
            <w:tcW w:w="40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4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1"/>
        </w:trPr>
        <w:tc>
          <w:tcPr>
            <w:tcW w:w="320" w:type="dxa"/>
            <w:vAlign w:val="bottom"/>
          </w:tcPr>
          <w:p>
            <w:pPr>
              <w:spacing w:after="0"/>
              <w:rPr>
                <w:sz w:val="23"/>
                <w:szCs w:val="23"/>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expense</w:t>
            </w:r>
          </w:p>
        </w:tc>
        <w:tc>
          <w:tcPr>
            <w:tcW w:w="4960" w:type="dxa"/>
            <w:vAlign w:val="bottom"/>
            <w:gridSpan w:val="2"/>
            <w:shd w:val="clear" w:color="auto" w:fill="CCEEFF"/>
          </w:tcPr>
          <w:p>
            <w:pPr>
              <w:jc w:val="right"/>
              <w:ind w:right="78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4,048</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jc w:val="right"/>
              <w:ind w:right="2314"/>
              <w:spacing w:after="0"/>
              <w:rPr>
                <w:sz w:val="20"/>
                <w:szCs w:val="20"/>
                <w:color w:val="auto"/>
              </w:rPr>
            </w:pPr>
            <w:r>
              <w:rPr>
                <w:rFonts w:ascii="Times New Roman" w:cs="Times New Roman" w:eastAsia="Times New Roman" w:hAnsi="Times New Roman"/>
                <w:sz w:val="17"/>
                <w:szCs w:val="17"/>
                <w:color w:val="auto"/>
              </w:rPr>
              <w:t>-16-</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6"/>
        </w:trPr>
        <w:tc>
          <w:tcPr>
            <w:tcW w:w="3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40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20" w:type="dxa"/>
            <w:vAlign w:val="bottom"/>
            <w:tcBorders>
              <w:bottom w:val="single" w:sz="8" w:color="9A9A9A"/>
            </w:tcBorders>
          </w:tcPr>
          <w:p>
            <w:pPr>
              <w:spacing w:after="0"/>
              <w:rPr>
                <w:sz w:val="9"/>
                <w:szCs w:val="9"/>
                <w:color w:val="auto"/>
              </w:rPr>
            </w:pPr>
          </w:p>
        </w:tc>
        <w:tc>
          <w:tcPr>
            <w:tcW w:w="3920" w:type="dxa"/>
            <w:vAlign w:val="bottom"/>
            <w:tcBorders>
              <w:bottom w:val="single" w:sz="8" w:color="9A9A9A"/>
            </w:tcBorders>
          </w:tcPr>
          <w:p>
            <w:pPr>
              <w:spacing w:after="0"/>
              <w:rPr>
                <w:sz w:val="9"/>
                <w:szCs w:val="9"/>
                <w:color w:val="auto"/>
              </w:rPr>
            </w:pPr>
          </w:p>
        </w:tc>
        <w:tc>
          <w:tcPr>
            <w:tcW w:w="408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tbl>
      <w:tblPr>
        <w:tblLayout w:type="fixed"/>
        <w:tblInd w:w="320" w:type="dxa"/>
        <w:tblCellMar>
          <w:top w:w="0" w:type="dxa"/>
          <w:left w:w="0" w:type="dxa"/>
          <w:bottom w:w="0" w:type="dxa"/>
          <w:right w:w="0" w:type="dxa"/>
        </w:tblCellMar>
      </w:tblPr>
      <w:tr>
        <w:trPr>
          <w:trHeight w:val="195"/>
        </w:trPr>
        <w:tc>
          <w:tcPr>
            <w:tcW w:w="1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8"/>
              </w:rPr>
              <w:t>Table of Contents</w:t>
            </w:r>
          </w:p>
        </w:tc>
        <w:tc>
          <w:tcPr>
            <w:tcW w:w="49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7"/>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 following table summarizes the option activity:</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2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Weighted</w:t>
            </w:r>
          </w:p>
        </w:tc>
        <w:tc>
          <w:tcPr>
            <w:tcW w:w="0" w:type="dxa"/>
            <w:vAlign w:val="bottom"/>
          </w:tcPr>
          <w:p>
            <w:pPr>
              <w:spacing w:after="0"/>
              <w:rPr>
                <w:sz w:val="1"/>
                <w:szCs w:val="1"/>
                <w:color w:val="auto"/>
              </w:rPr>
            </w:pPr>
          </w:p>
        </w:tc>
      </w:tr>
      <w:tr>
        <w:trPr>
          <w:trHeight w:val="116"/>
        </w:trPr>
        <w:tc>
          <w:tcPr>
            <w:tcW w:w="12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average</w:t>
            </w:r>
          </w:p>
        </w:tc>
        <w:tc>
          <w:tcPr>
            <w:tcW w:w="1480" w:type="dxa"/>
            <w:vAlign w:val="bottom"/>
          </w:tcPr>
          <w:p>
            <w:pPr>
              <w:jc w:val="center"/>
              <w:spacing w:after="0" w:line="116" w:lineRule="exact"/>
              <w:rPr>
                <w:sz w:val="20"/>
                <w:szCs w:val="20"/>
                <w:color w:val="auto"/>
              </w:rPr>
            </w:pPr>
            <w:r>
              <w:rPr>
                <w:rFonts w:ascii="Times New Roman" w:cs="Times New Roman" w:eastAsia="Times New Roman" w:hAnsi="Times New Roman"/>
                <w:sz w:val="13"/>
                <w:szCs w:val="13"/>
                <w:b w:val="1"/>
                <w:bCs w:val="1"/>
                <w:color w:val="auto"/>
              </w:rPr>
              <w:t>average</w:t>
            </w: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4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80" w:type="dxa"/>
            <w:vAlign w:val="bottom"/>
            <w:vMerge w:val="restart"/>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0" w:type="dxa"/>
            <w:vAlign w:val="bottom"/>
          </w:tcPr>
          <w:p>
            <w:pPr>
              <w:spacing w:after="0"/>
              <w:rPr>
                <w:sz w:val="1"/>
                <w:szCs w:val="1"/>
                <w:color w:val="auto"/>
              </w:rPr>
            </w:pPr>
          </w:p>
        </w:tc>
      </w:tr>
      <w:tr>
        <w:trPr>
          <w:trHeight w:val="52"/>
        </w:trPr>
        <w:tc>
          <w:tcPr>
            <w:tcW w:w="1220" w:type="dxa"/>
            <w:vAlign w:val="bottom"/>
          </w:tcPr>
          <w:p>
            <w:pPr>
              <w:spacing w:after="0"/>
              <w:rPr>
                <w:sz w:val="4"/>
                <w:szCs w:val="4"/>
                <w:color w:val="auto"/>
              </w:rPr>
            </w:pPr>
          </w:p>
        </w:tc>
        <w:tc>
          <w:tcPr>
            <w:tcW w:w="4980" w:type="dxa"/>
            <w:vAlign w:val="bottom"/>
          </w:tcPr>
          <w:p>
            <w:pPr>
              <w:spacing w:after="0"/>
              <w:rPr>
                <w:sz w:val="4"/>
                <w:szCs w:val="4"/>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9"/>
              </w:rPr>
              <w:t>exercise price</w:t>
            </w:r>
          </w:p>
        </w:tc>
        <w:tc>
          <w:tcPr>
            <w:tcW w:w="1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6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480" w:type="dxa"/>
            <w:vAlign w:val="bottom"/>
          </w:tcPr>
          <w:p>
            <w:pPr>
              <w:jc w:val="center"/>
              <w:spacing w:after="0" w:line="175" w:lineRule="exact"/>
              <w:rPr>
                <w:sz w:val="20"/>
                <w:szCs w:val="20"/>
                <w:color w:val="auto"/>
              </w:rPr>
            </w:pPr>
            <w:r>
              <w:rPr>
                <w:rFonts w:ascii="Times New Roman" w:cs="Times New Roman" w:eastAsia="Times New Roman" w:hAnsi="Times New Roman"/>
                <w:sz w:val="17"/>
                <w:szCs w:val="17"/>
                <w:b w:val="1"/>
                <w:bCs w:val="1"/>
                <w:color w:val="auto"/>
              </w:rPr>
              <w:t>contractual</w:t>
            </w:r>
          </w:p>
        </w:tc>
        <w:tc>
          <w:tcPr>
            <w:tcW w:w="0" w:type="dxa"/>
            <w:vAlign w:val="bottom"/>
          </w:tcPr>
          <w:p>
            <w:pPr>
              <w:spacing w:after="0"/>
              <w:rPr>
                <w:sz w:val="1"/>
                <w:szCs w:val="1"/>
                <w:color w:val="auto"/>
              </w:rPr>
            </w:pPr>
          </w:p>
        </w:tc>
      </w:tr>
      <w:tr>
        <w:trPr>
          <w:trHeight w:val="230"/>
        </w:trPr>
        <w:tc>
          <w:tcPr>
            <w:tcW w:w="6200" w:type="dxa"/>
            <w:vAlign w:val="bottom"/>
            <w:tcBorders>
              <w:bottom w:val="single" w:sz="8" w:color="auto"/>
            </w:tcBorders>
            <w:gridSpan w:val="2"/>
            <w:vMerge w:val="continue"/>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shares</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7"/>
                <w:szCs w:val="17"/>
                <w:b w:val="1"/>
                <w:bCs w:val="1"/>
                <w:color w:val="auto"/>
              </w:rPr>
              <w:t>per share</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term (in years)</w:t>
            </w:r>
          </w:p>
        </w:tc>
        <w:tc>
          <w:tcPr>
            <w:tcW w:w="0" w:type="dxa"/>
            <w:vAlign w:val="bottom"/>
          </w:tcPr>
          <w:p>
            <w:pPr>
              <w:spacing w:after="0"/>
              <w:rPr>
                <w:sz w:val="1"/>
                <w:szCs w:val="1"/>
                <w:color w:val="auto"/>
              </w:rPr>
            </w:pPr>
          </w:p>
        </w:tc>
      </w:tr>
      <w:tr>
        <w:trPr>
          <w:trHeight w:val="233"/>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2,088,550</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23.49</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7.91</w:t>
            </w:r>
          </w:p>
        </w:tc>
        <w:tc>
          <w:tcPr>
            <w:tcW w:w="0" w:type="dxa"/>
            <w:vAlign w:val="bottom"/>
          </w:tcPr>
          <w:p>
            <w:pPr>
              <w:spacing w:after="0"/>
              <w:rPr>
                <w:sz w:val="1"/>
                <w:szCs w:val="1"/>
                <w:color w:val="auto"/>
              </w:rPr>
            </w:pPr>
          </w:p>
        </w:tc>
      </w:tr>
      <w:tr>
        <w:trPr>
          <w:trHeight w:val="232"/>
        </w:trPr>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777,383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17.77</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2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62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(21,324)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2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auto"/>
              </w:rPr>
              <w:t>Expired/Forfeited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(24,571)</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23.18</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200" w:type="dxa"/>
            <w:vAlign w:val="bottom"/>
            <w:tcBorders>
              <w:bottom w:val="single" w:sz="8" w:color="CCEEFF"/>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at March 31, 2026</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2,820,038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8.23</w:t>
            </w:r>
          </w:p>
        </w:tc>
        <w:tc>
          <w:tcPr>
            <w:tcW w:w="0" w:type="dxa"/>
            <w:vAlign w:val="bottom"/>
          </w:tcPr>
          <w:p>
            <w:pPr>
              <w:spacing w:after="0"/>
              <w:rPr>
                <w:sz w:val="1"/>
                <w:szCs w:val="1"/>
                <w:color w:val="auto"/>
              </w:rPr>
            </w:pPr>
          </w:p>
        </w:tc>
      </w:tr>
      <w:tr>
        <w:trPr>
          <w:trHeight w:val="251"/>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Exercisable at March 31, 2026</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1,054,285</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24.23</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As of March 31, 2026, the aggregate intrinsic value of outstanding options and exercisable options was approximately $7.2 million and $3.2 million, respectively. The aggregate intrinsic value of options exercised was $0.3 million for the three months ended March 31, 2026.</w:t>
      </w:r>
    </w:p>
    <w:p>
      <w:pPr>
        <w:spacing w:after="0" w:line="11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was $14.06 and $12.78 per share for the three months ended March 31, 2026 and 2025, respectively. The Company recorded stock-based compensation related to stock options of approximately $2.5 million and $1.8 million for the three months ended March 31, 2026 and 2025, respectively. As of March 31, 2026, the total unrecognized compensation expense related to unvested stock option awards was approximately $27.4 million, which the Company expects to recognize over a weighted-average period of 2.79 years.</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fair value of each option was estimated on the grant date using the weighted-average assumptions in the table below:</w:t>
      </w:r>
    </w:p>
    <w:p>
      <w:pPr>
        <w:spacing w:after="0" w:line="239"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4856480</wp:posOffset>
            </wp:positionH>
            <wp:positionV relativeFrom="paragraph">
              <wp:posOffset>22860</wp:posOffset>
            </wp:positionV>
            <wp:extent cx="22186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18690" cy="8255"/>
                    </a:xfrm>
                    <a:prstGeom prst="rect">
                      <a:avLst/>
                    </a:prstGeom>
                    <a:noFill/>
                  </pic:spPr>
                </pic:pic>
              </a:graphicData>
            </a:graphic>
          </wp:anchor>
        </w:drawing>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3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5520" w:type="dxa"/>
            <w:vAlign w:val="bottom"/>
            <w:gridSpan w:val="2"/>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1700" w:type="dxa"/>
            <w:vAlign w:val="bottom"/>
          </w:tcPr>
          <w:p>
            <w:pPr>
              <w:jc w:val="right"/>
              <w:ind w:right="594"/>
              <w:spacing w:after="0"/>
              <w:rPr>
                <w:sz w:val="20"/>
                <w:szCs w:val="20"/>
                <w:color w:val="auto"/>
              </w:rPr>
            </w:pPr>
            <w:r>
              <w:rPr>
                <w:rFonts w:ascii="Times New Roman" w:cs="Times New Roman" w:eastAsia="Times New Roman" w:hAnsi="Times New Roman"/>
                <w:sz w:val="17"/>
                <w:szCs w:val="17"/>
                <w:b w:val="1"/>
                <w:bCs w:val="1"/>
                <w:color w:val="auto"/>
              </w:rPr>
              <w:t>2025</w:t>
            </w:r>
          </w:p>
        </w:tc>
        <w:tc>
          <w:tcPr>
            <w:tcW w:w="100" w:type="dxa"/>
            <w:vAlign w:val="bottom"/>
          </w:tcPr>
          <w:p>
            <w:pPr>
              <w:spacing w:after="0"/>
              <w:rPr>
                <w:sz w:val="19"/>
                <w:szCs w:val="19"/>
                <w:color w:val="auto"/>
              </w:rPr>
            </w:pPr>
          </w:p>
        </w:tc>
      </w:tr>
      <w:tr>
        <w:trPr>
          <w:trHeight w:val="25"/>
        </w:trPr>
        <w:tc>
          <w:tcPr>
            <w:tcW w:w="320" w:type="dxa"/>
            <w:vAlign w:val="bottom"/>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1"/>
        </w:trPr>
        <w:tc>
          <w:tcPr>
            <w:tcW w:w="320" w:type="dxa"/>
            <w:vAlign w:val="bottom"/>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96.59%-97.43%</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93.99%-96.49%</w:t>
            </w:r>
          </w:p>
        </w:tc>
        <w:tc>
          <w:tcPr>
            <w:tcW w:w="100" w:type="dxa"/>
            <w:vAlign w:val="bottom"/>
          </w:tcPr>
          <w:p>
            <w:pPr>
              <w:spacing w:after="0"/>
              <w:rPr>
                <w:sz w:val="20"/>
                <w:szCs w:val="20"/>
                <w:color w:val="auto"/>
              </w:rPr>
            </w:pPr>
          </w:p>
        </w:tc>
      </w:tr>
      <w:tr>
        <w:trPr>
          <w:trHeight w:val="232"/>
        </w:trPr>
        <w:tc>
          <w:tcPr>
            <w:tcW w:w="3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55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3.64%-3.91%</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3.97%-4.42%</w:t>
            </w:r>
          </w:p>
        </w:tc>
        <w:tc>
          <w:tcPr>
            <w:tcW w:w="100" w:type="dxa"/>
            <w:vAlign w:val="bottom"/>
          </w:tcPr>
          <w:p>
            <w:pPr>
              <w:spacing w:after="0"/>
              <w:rPr>
                <w:sz w:val="20"/>
                <w:szCs w:val="20"/>
                <w:color w:val="auto"/>
              </w:rPr>
            </w:pPr>
          </w:p>
        </w:tc>
      </w:tr>
      <w:tr>
        <w:trPr>
          <w:trHeight w:val="25"/>
        </w:trPr>
        <w:tc>
          <w:tcPr>
            <w:tcW w:w="3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38"/>
        </w:trPr>
        <w:tc>
          <w:tcPr>
            <w:tcW w:w="320" w:type="dxa"/>
            <w:vAlign w:val="bottom"/>
          </w:tcPr>
          <w:p>
            <w:pPr>
              <w:spacing w:after="0"/>
              <w:rPr>
                <w:sz w:val="20"/>
                <w:szCs w:val="20"/>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life (in years)</w:t>
            </w:r>
          </w:p>
        </w:tc>
        <w:tc>
          <w:tcPr>
            <w:tcW w:w="55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5.27-6.98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5.60-6.96</w:t>
            </w:r>
          </w:p>
        </w:tc>
        <w:tc>
          <w:tcPr>
            <w:tcW w:w="100" w:type="dxa"/>
            <w:vAlign w:val="bottom"/>
          </w:tcPr>
          <w:p>
            <w:pPr>
              <w:spacing w:after="0"/>
              <w:rPr>
                <w:sz w:val="20"/>
                <w:szCs w:val="20"/>
                <w:color w:val="auto"/>
              </w:rPr>
            </w:pPr>
          </w:p>
        </w:tc>
      </w:tr>
      <w:tr>
        <w:trPr>
          <w:trHeight w:val="232"/>
        </w:trPr>
        <w:tc>
          <w:tcPr>
            <w:tcW w:w="32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3820" w:type="dxa"/>
            <w:vAlign w:val="bottom"/>
          </w:tcPr>
          <w:p>
            <w:pPr>
              <w:spacing w:after="0"/>
              <w:rPr>
                <w:sz w:val="20"/>
                <w:szCs w:val="20"/>
                <w:color w:val="auto"/>
              </w:rPr>
            </w:pP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gridSpan w:val="2"/>
          </w:tcPr>
          <w:p>
            <w:pPr>
              <w:ind w:left="1460"/>
              <w:spacing w:after="0"/>
              <w:rPr>
                <w:sz w:val="20"/>
                <w:szCs w:val="20"/>
                <w:color w:val="auto"/>
              </w:rPr>
            </w:pPr>
            <w:r>
              <w:rPr>
                <w:rFonts w:ascii="Times New Roman" w:cs="Times New Roman" w:eastAsia="Times New Roman" w:hAnsi="Times New Roman"/>
                <w:sz w:val="17"/>
                <w:szCs w:val="17"/>
                <w:color w:val="auto"/>
              </w:rPr>
              <w:t>—</w:t>
            </w:r>
          </w:p>
        </w:tc>
      </w:tr>
      <w:tr>
        <w:trPr>
          <w:trHeight w:val="877"/>
        </w:trPr>
        <w:tc>
          <w:tcPr>
            <w:tcW w:w="3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20" w:type="dxa"/>
            <w:vAlign w:val="bottom"/>
          </w:tcPr>
          <w:p>
            <w:pPr>
              <w:jc w:val="right"/>
              <w:ind w:right="1634"/>
              <w:spacing w:after="0"/>
              <w:rPr>
                <w:sz w:val="20"/>
                <w:szCs w:val="20"/>
                <w:color w:val="auto"/>
              </w:rPr>
            </w:pPr>
            <w:r>
              <w:rPr>
                <w:rFonts w:ascii="Times New Roman" w:cs="Times New Roman" w:eastAsia="Times New Roman" w:hAnsi="Times New Roman"/>
                <w:sz w:val="17"/>
                <w:szCs w:val="17"/>
                <w:color w:val="auto"/>
              </w:rPr>
              <w:t>-17-</w:t>
            </w: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320" w:type="dxa"/>
            <w:vAlign w:val="bottom"/>
            <w:tcBorders>
              <w:bottom w:val="single" w:sz="8" w:color="9A9A9A"/>
            </w:tcBorders>
          </w:tcPr>
          <w:p>
            <w:pPr>
              <w:spacing w:after="0"/>
              <w:rPr>
                <w:sz w:val="9"/>
                <w:szCs w:val="9"/>
                <w:color w:val="auto"/>
              </w:rPr>
            </w:pPr>
          </w:p>
        </w:tc>
        <w:tc>
          <w:tcPr>
            <w:tcW w:w="3500" w:type="dxa"/>
            <w:vAlign w:val="bottom"/>
            <w:tcBorders>
              <w:bottom w:val="single" w:sz="8" w:color="9A9A9A"/>
            </w:tcBorders>
          </w:tcPr>
          <w:p>
            <w:pPr>
              <w:spacing w:after="0"/>
              <w:rPr>
                <w:sz w:val="9"/>
                <w:szCs w:val="9"/>
                <w:color w:val="auto"/>
              </w:rPr>
            </w:pPr>
          </w:p>
        </w:tc>
        <w:tc>
          <w:tcPr>
            <w:tcW w:w="382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restricted stock unit (“RSU”) activity and related information for the three months ended March 31, 2026 is as follows: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r>
      <w:tr>
        <w:trPr>
          <w:trHeight w:val="206"/>
        </w:trPr>
        <w:tc>
          <w:tcPr>
            <w:tcW w:w="7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Grant Date Fair</w:t>
            </w:r>
          </w:p>
        </w:tc>
      </w:tr>
      <w:tr>
        <w:trPr>
          <w:trHeight w:val="227"/>
        </w:trPr>
        <w:tc>
          <w:tcPr>
            <w:tcW w:w="7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RSUs</w:t>
            </w:r>
          </w:p>
        </w:tc>
        <w:tc>
          <w:tcPr>
            <w:tcW w:w="16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Value</w:t>
            </w:r>
          </w:p>
        </w:tc>
      </w:tr>
      <w:tr>
        <w:trPr>
          <w:trHeight w:val="25"/>
        </w:trPr>
        <w:tc>
          <w:tcPr>
            <w:tcW w:w="7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December 31, 2025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256,361</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r>
      <w:tr>
        <w:trPr>
          <w:trHeight w:val="232"/>
        </w:trPr>
        <w:tc>
          <w:tcPr>
            <w:tcW w:w="7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stock units 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150,430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17.64</w:t>
            </w:r>
          </w:p>
        </w:tc>
      </w:tr>
      <w:tr>
        <w:trPr>
          <w:trHeight w:val="25"/>
        </w:trPr>
        <w:tc>
          <w:tcPr>
            <w:tcW w:w="7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8"/>
        </w:trPr>
        <w:tc>
          <w:tcPr>
            <w:tcW w:w="7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Restricted stock units 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(104,662)</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28.16</w:t>
            </w:r>
          </w:p>
        </w:tc>
      </w:tr>
      <w:tr>
        <w:trPr>
          <w:trHeight w:val="232"/>
        </w:trPr>
        <w:tc>
          <w:tcPr>
            <w:tcW w:w="7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Restricted stock units forfeited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25.81</w:t>
            </w:r>
          </w:p>
        </w:tc>
      </w:tr>
      <w:tr>
        <w:trPr>
          <w:trHeight w:val="25"/>
        </w:trPr>
        <w:tc>
          <w:tcPr>
            <w:tcW w:w="7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76"/>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March 31,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296,578</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21.14</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41"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Company recorded stock-based compensation expense related to RSUs of approximately $0.8 million and $0.6 million for the three months ended March 31, 2026 and 2025, respectively. As of March 31, 2026, there was approximately $6.0 million of unrecognized compensation cost related to unvested RSUs, which is expected to be recognized over a remaining weighted average vesting period of approximately 2.00 years.</w:t>
      </w:r>
    </w:p>
    <w:p>
      <w:pPr>
        <w:spacing w:after="0" w:line="2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Company’s performance stock unit (“PSU”) activity and related information for the three months ended March 31, 2026 is as follows: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06"/>
        </w:trPr>
        <w:tc>
          <w:tcPr>
            <w:tcW w:w="7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9"/>
              </w:rPr>
              <w:t>Weighted Average</w:t>
            </w:r>
          </w:p>
        </w:tc>
      </w:tr>
      <w:tr>
        <w:trPr>
          <w:trHeight w:val="206"/>
        </w:trPr>
        <w:tc>
          <w:tcPr>
            <w:tcW w:w="7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34"/>
              <w:spacing w:after="0"/>
              <w:rPr>
                <w:sz w:val="20"/>
                <w:szCs w:val="20"/>
                <w:color w:val="auto"/>
              </w:rPr>
            </w:pPr>
            <w:r>
              <w:rPr>
                <w:rFonts w:ascii="Times New Roman" w:cs="Times New Roman" w:eastAsia="Times New Roman" w:hAnsi="Times New Roman"/>
                <w:sz w:val="17"/>
                <w:szCs w:val="17"/>
                <w:b w:val="1"/>
                <w:bCs w:val="1"/>
                <w:color w:val="auto"/>
              </w:rPr>
              <w:t>Grant Date Fair</w:t>
            </w:r>
          </w:p>
        </w:tc>
      </w:tr>
      <w:tr>
        <w:trPr>
          <w:trHeight w:val="227"/>
        </w:trPr>
        <w:tc>
          <w:tcPr>
            <w:tcW w:w="7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PSUs</w:t>
            </w:r>
          </w:p>
        </w:tc>
        <w:tc>
          <w:tcPr>
            <w:tcW w:w="1680" w:type="dxa"/>
            <w:vAlign w:val="bottom"/>
          </w:tcPr>
          <w:p>
            <w:pPr>
              <w:jc w:val="right"/>
              <w:ind w:right="94"/>
              <w:spacing w:after="0"/>
              <w:rPr>
                <w:sz w:val="20"/>
                <w:szCs w:val="20"/>
                <w:color w:val="auto"/>
              </w:rPr>
            </w:pPr>
            <w:r>
              <w:rPr>
                <w:rFonts w:ascii="Times New Roman" w:cs="Times New Roman" w:eastAsia="Times New Roman" w:hAnsi="Times New Roman"/>
                <w:sz w:val="17"/>
                <w:szCs w:val="17"/>
                <w:b w:val="1"/>
                <w:bCs w:val="1"/>
                <w:color w:val="auto"/>
              </w:rPr>
              <w:t>Number of 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tcPr>
          <w:p>
            <w:pPr>
              <w:jc w:val="center"/>
              <w:ind w:right="54"/>
              <w:spacing w:after="0"/>
              <w:rPr>
                <w:sz w:val="20"/>
                <w:szCs w:val="20"/>
                <w:color w:val="auto"/>
              </w:rPr>
            </w:pPr>
            <w:r>
              <w:rPr>
                <w:rFonts w:ascii="Times New Roman" w:cs="Times New Roman" w:eastAsia="Times New Roman" w:hAnsi="Times New Roman"/>
                <w:sz w:val="17"/>
                <w:szCs w:val="17"/>
                <w:b w:val="1"/>
                <w:bCs w:val="1"/>
                <w:color w:val="auto"/>
                <w:w w:val="98"/>
              </w:rPr>
              <w:t>Value</w:t>
            </w:r>
          </w:p>
        </w:tc>
      </w:tr>
      <w:tr>
        <w:trPr>
          <w:trHeight w:val="25"/>
        </w:trPr>
        <w:tc>
          <w:tcPr>
            <w:tcW w:w="7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December 31, 2025</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252,124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w:t>
            </w:r>
          </w:p>
        </w:tc>
      </w:tr>
      <w:tr>
        <w:trPr>
          <w:trHeight w:val="232"/>
        </w:trPr>
        <w:tc>
          <w:tcPr>
            <w:tcW w:w="7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Performance stock units 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8"/>
        </w:trPr>
        <w:tc>
          <w:tcPr>
            <w:tcW w:w="74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Performance stock units vested</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2"/>
        </w:trPr>
        <w:tc>
          <w:tcPr>
            <w:tcW w:w="7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Performance stock units forfeited</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74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76"/>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Unvested at March 31, 2026</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252,124</w:t>
            </w: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41" w:lineRule="exact"/>
        <w:rPr>
          <w:sz w:val="20"/>
          <w:szCs w:val="20"/>
          <w:color w:val="auto"/>
        </w:rPr>
      </w:pPr>
    </w:p>
    <w:p>
      <w:pPr>
        <w:jc w:val="both"/>
        <w:ind w:firstLine="309"/>
        <w:spacing w:after="0" w:line="259" w:lineRule="auto"/>
        <w:rPr>
          <w:sz w:val="20"/>
          <w:szCs w:val="20"/>
          <w:color w:val="auto"/>
        </w:rPr>
      </w:pPr>
      <w:r>
        <w:rPr>
          <w:rFonts w:ascii="Times New Roman" w:cs="Times New Roman" w:eastAsia="Times New Roman" w:hAnsi="Times New Roman"/>
          <w:sz w:val="17"/>
          <w:szCs w:val="17"/>
          <w:color w:val="auto"/>
        </w:rPr>
        <w:t>The PSUs were granted with vesting in two equal tranches based on certain performance conditions. Each PSU entitles the holder to receive one share of the Company's common stock when the PSU vests. Stock-based compensation expense for PSUs will be recognized when it is probable that the performance conditions will be achieved. During 2025, the performance conditions underlying the first tranche of 126,062 PSUs were achieved for the first milestone and are currently considered probable to vest. The Company recorded stock-based compensation expense related to PSUs of approximately $0.3 million and $1.6 million for the three months ended March 31, 2026 and 2025, respectively. As of March 31, 2026, the second tranche of 126,062 PSUs were not deemed probable of achievement and are not currently considered probable to vest. As of March 31, 2026, there was approximately $6.0 million of unrecognized compensation cost related to PSUs.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Information</w:t>
      </w:r>
    </w:p>
    <w:p>
      <w:pPr>
        <w:spacing w:after="0" w:line="195"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CODMs in deciding how to allocate resources and in assessing performance. The Company’s CODMs are (i) the Chief Executive Officer and (ii) the President and Chief Financial Officer. The Company is a clinical stage biotechnology company that operates as a single operating segment and has one reportable segment. In addition to reviewing the expenses in the consolidated statement of operations, the CODMs are provided with research and development costs for Rett syndrome, Batten disease and Early Discovery, as well as categorized general and administrative expenses. The research and development programs are considered significant by the Company. The CODMs assess the financial performance of the segment and decides how to allocate resources based on net loss on a consolidated basis. The measure of segment assets is reported on the condensed consolidated balance sheets as total consolidated assets</w:t>
      </w:r>
      <w:r>
        <w:rPr>
          <w:rFonts w:ascii="Arial" w:cs="Arial" w:eastAsia="Arial" w:hAnsi="Arial"/>
          <w:sz w:val="18"/>
          <w:szCs w:val="18"/>
          <w:color w:val="auto"/>
        </w:rPr>
        <w:t>.</w:t>
      </w:r>
      <w:r>
        <w:rPr>
          <w:rFonts w:ascii="Times New Roman" w:cs="Times New Roman" w:eastAsia="Times New Roman" w:hAnsi="Times New Roman"/>
          <w:sz w:val="17"/>
          <w:szCs w:val="17"/>
          <w:color w:val="auto"/>
        </w:rPr>
        <w:t xml:space="preserve"> The CODMs also assess performance of the segment according to preclinical and clinical data, the stage of development of the research and development programs, along with program specific expenses and market conditions in the pharmaceutical and biotechnology sectors.</w:t>
      </w:r>
    </w:p>
    <w:p>
      <w:pPr>
        <w:spacing w:after="0" w:line="15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As of March 31, 2026 and 2025, the Company did not have any significant long-lived assets located outside of the United States. Information on the segment and reconciliation to net loss is as follows (in thousands):</w:t>
      </w:r>
    </w:p>
    <w:p>
      <w:pPr>
        <w:spacing w:after="0" w:line="160"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60" w:type="dxa"/>
            <w:vAlign w:val="bottom"/>
            <w:gridSpan w:val="4"/>
          </w:tcPr>
          <w:p>
            <w:pPr>
              <w:jc w:val="right"/>
              <w:ind w:right="15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58"/>
        </w:trPr>
        <w:tc>
          <w:tcPr>
            <w:tcW w:w="8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Program specific expenses:</w:t>
            </w: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32"/>
        </w:trPr>
        <w:tc>
          <w:tcPr>
            <w:tcW w:w="8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Rett syndrome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11,037</w:t>
            </w:r>
          </w:p>
        </w:tc>
        <w:tc>
          <w:tcPr>
            <w:tcW w:w="10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w:t>
            </w:r>
          </w:p>
        </w:tc>
      </w:tr>
      <w:tr>
        <w:trPr>
          <w:trHeight w:val="25"/>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Batten disease</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r>
      <w:tr>
        <w:trPr>
          <w:trHeight w:val="232"/>
        </w:trPr>
        <w:tc>
          <w:tcPr>
            <w:tcW w:w="8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Early Discovery</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w:t>
            </w:r>
          </w:p>
        </w:tc>
      </w:tr>
      <w:tr>
        <w:trPr>
          <w:trHeight w:val="25"/>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Unallocated internal expenses: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2"/>
        </w:trPr>
        <w:tc>
          <w:tcPr>
            <w:tcW w:w="8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Personnel-related</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w:t>
            </w:r>
          </w:p>
        </w:tc>
      </w:tr>
      <w:tr>
        <w:trPr>
          <w:trHeight w:val="25"/>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r>
      <w:tr>
        <w:trPr>
          <w:trHeight w:val="232"/>
        </w:trPr>
        <w:tc>
          <w:tcPr>
            <w:tcW w:w="8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Manufacturing</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r>
      <w:tr>
        <w:trPr>
          <w:trHeight w:val="25"/>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(a)</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r>
      <w:tr>
        <w:trPr>
          <w:trHeight w:val="22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17,760</w:t>
            </w:r>
          </w:p>
        </w:tc>
      </w:tr>
      <w:tr>
        <w:trPr>
          <w:trHeight w:val="25"/>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8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2"/>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General and administrative specific expenses: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5"/>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Personnel-related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w:t>
            </w:r>
          </w:p>
        </w:tc>
      </w:tr>
      <w:tr>
        <w:trPr>
          <w:trHeight w:val="232"/>
        </w:trPr>
        <w:tc>
          <w:tcPr>
            <w:tcW w:w="8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w:t>
            </w:r>
          </w:p>
        </w:tc>
      </w:tr>
      <w:tr>
        <w:trPr>
          <w:trHeight w:val="25"/>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8"/>
        </w:trPr>
        <w:tc>
          <w:tcPr>
            <w:tcW w:w="8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Professional and consultant fees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1,277</w:t>
            </w:r>
          </w:p>
        </w:tc>
      </w:tr>
      <w:tr>
        <w:trPr>
          <w:trHeight w:val="232"/>
        </w:trPr>
        <w:tc>
          <w:tcPr>
            <w:tcW w:w="8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Office-related</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r>
      <w:tr>
        <w:trPr>
          <w:trHeight w:val="25"/>
        </w:trPr>
        <w:tc>
          <w:tcPr>
            <w:tcW w:w="8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8"/>
        </w:trPr>
        <w:tc>
          <w:tcPr>
            <w:tcW w:w="8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 xml:space="preserve">Other </w:t>
            </w:r>
            <w:r>
              <w:rPr>
                <w:rFonts w:ascii="Times New Roman" w:cs="Times New Roman" w:eastAsia="Times New Roman" w:hAnsi="Times New Roman"/>
                <w:sz w:val="22"/>
                <w:szCs w:val="22"/>
                <w:color w:val="auto"/>
                <w:vertAlign w:val="superscript"/>
              </w:rPr>
              <w:t>(b)</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1,288</w:t>
            </w:r>
          </w:p>
        </w:tc>
      </w:tr>
      <w:tr>
        <w:trPr>
          <w:trHeight w:val="225"/>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8,199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8,159</w:t>
            </w:r>
          </w:p>
        </w:tc>
      </w:tr>
      <w:tr>
        <w:trPr>
          <w:trHeight w:val="25"/>
        </w:trPr>
        <w:tc>
          <w:tcPr>
            <w:tcW w:w="80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5"/>
        </w:trPr>
        <w:tc>
          <w:tcPr>
            <w:tcW w:w="8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58"/>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Other income</w:t>
            </w:r>
            <w:r>
              <w:rPr>
                <w:rFonts w:ascii="Times New Roman" w:cs="Times New Roman" w:eastAsia="Times New Roman" w:hAnsi="Times New Roman"/>
                <w:sz w:val="22"/>
                <w:szCs w:val="22"/>
                <w:color w:val="auto"/>
                <w:vertAlign w:val="superscript"/>
              </w:rPr>
              <w:t>(c)</w:t>
            </w: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3,272</w:t>
            </w:r>
          </w:p>
        </w:tc>
      </w:tr>
      <w:tr>
        <w:trPr>
          <w:trHeight w:val="257"/>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(22,647)</w:t>
            </w:r>
          </w:p>
        </w:tc>
      </w:tr>
    </w:tbl>
    <w:p>
      <w:pPr>
        <w:spacing w:after="0" w:line="9" w:lineRule="exact"/>
        <w:rPr>
          <w:sz w:val="20"/>
          <w:szCs w:val="20"/>
          <w:color w:val="auto"/>
        </w:rPr>
      </w:pPr>
    </w:p>
    <w:p>
      <w:pPr>
        <w:ind w:left="320" w:right="120" w:firstLine="10"/>
        <w:spacing w:after="0" w:line="263" w:lineRule="auto"/>
        <w:tabs>
          <w:tab w:leader="none" w:pos="472" w:val="left"/>
        </w:tabs>
        <w:numPr>
          <w:ilvl w:val="0"/>
          <w:numId w:val="1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Other expense segment items category within research and development expense is mainly comprised of: Consultant fees for programs not specified above, IT Software and network support and rent expenses.</w:t>
      </w:r>
    </w:p>
    <w:p>
      <w:pPr>
        <w:ind w:left="320" w:right="120" w:firstLine="10"/>
        <w:spacing w:after="0" w:line="220" w:lineRule="auto"/>
        <w:tabs>
          <w:tab w:leader="none" w:pos="504"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Other expense segment items category within general and administrative expense is mainly comprised of: Insurance, IT software and network support, market research, and tax expenses.</w:t>
      </w:r>
    </w:p>
    <w:p>
      <w:pPr>
        <w:spacing w:after="0" w:line="1" w:lineRule="exact"/>
        <w:rPr>
          <w:rFonts w:ascii="Times New Roman" w:cs="Times New Roman" w:eastAsia="Times New Roman" w:hAnsi="Times New Roman"/>
          <w:sz w:val="22"/>
          <w:szCs w:val="22"/>
          <w:color w:val="auto"/>
          <w:vertAlign w:val="superscript"/>
        </w:rPr>
      </w:pPr>
    </w:p>
    <w:p>
      <w:pPr>
        <w:ind w:left="480" w:hanging="150"/>
        <w:spacing w:after="0" w:line="215" w:lineRule="auto"/>
        <w:tabs>
          <w:tab w:leader="none" w:pos="480"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Other income included in net loss is mainly comprised of: Interest income, interest expense, other income and other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5281930</wp:posOffset>
            </wp:positionH>
            <wp:positionV relativeFrom="paragraph">
              <wp:posOffset>-662305</wp:posOffset>
            </wp:positionV>
            <wp:extent cx="17926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26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8" w:lineRule="exact"/>
        <w:rPr>
          <w:sz w:val="20"/>
          <w:szCs w:val="20"/>
          <w:color w:val="auto"/>
        </w:rPr>
      </w:pPr>
    </w:p>
    <w:p>
      <w:pPr>
        <w:jc w:val="both"/>
        <w:ind w:firstLine="309"/>
        <w:spacing w:after="0" w:line="25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in conjunction with the unaudited interim condensed consolidated financial statements and notes thereto included elsewhere in this report and our audited consolidated financial statements and notes thereto included as part of our Annual Report on Form 10-K for the year ended December 31, 2025, filed with the SEC on March 24, 2026 (“Annual Report”). Some of the information contained in this discussion and analysis or set forth elsewhere in this Quarterly Report on Form 10-Q, including information with respect to our plans and strategy for our business, include forward-looking statements that involve risks, uncertainties, and assumptions. As a result of many factors, including those factors set forth in the section entitled “Risk Factors,” our actual results or outcomes, or the timing of our results or outcomes, could differ materially from the results or outcomes described in or implied by these forward-looking statements. Factors that could cause or contribute to such differences include, but are not limited to, those discussed in the section of this report entitled “Risk Factors.” You should carefully read the “Cautionary Note About Forward-Looking Statements” and “Risk Factors” sections of the Annual Report on Form 10-K as well as the risk factors included in Part II, Item 1A of this Quarterly Report on Form 10-Q to gain an understanding of the important factors that could cause actual results to differ materially from the results described below.</w:t>
      </w:r>
    </w:p>
    <w:p>
      <w:pPr>
        <w:spacing w:after="0" w:line="150" w:lineRule="exact"/>
        <w:rPr>
          <w:sz w:val="20"/>
          <w:szCs w:val="20"/>
          <w:color w:val="auto"/>
        </w:rPr>
      </w:pPr>
    </w:p>
    <w:p>
      <w:pPr>
        <w:jc w:val="both"/>
        <w:ind w:firstLine="309"/>
        <w:spacing w:after="0" w:line="218" w:lineRule="exact"/>
        <w:rPr>
          <w:sz w:val="20"/>
          <w:szCs w:val="20"/>
          <w:color w:val="auto"/>
        </w:rPr>
      </w:pPr>
      <w:r>
        <w:rPr>
          <w:rFonts w:ascii="Times New Roman" w:cs="Times New Roman" w:eastAsia="Times New Roman" w:hAnsi="Times New Roman"/>
          <w:sz w:val="17"/>
          <w:szCs w:val="17"/>
          <w:i w:val="1"/>
          <w:iCs w:val="1"/>
          <w:color w:val="auto"/>
        </w:rPr>
        <w:t>Forward-looking statements are inherently uncertain and you should not place undue reliance on these statements, which speak only as of the date that they were made. These cautionary statements should be considered in connection with any written or oral forward-looking statements that we may issue in the future. Except as required by law, we do not undertake any obligation to revise or update publicly any forward-looking statements after completion of the filing of this Quarterly Report on Form 10</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i w:val="1"/>
          <w:iCs w:val="1"/>
          <w:color w:val="auto"/>
        </w:rPr>
        <w:t>Q to reflect later events or circumstances or to reflect the occurrence of unanticipated events, or otherwise.</w:t>
      </w:r>
    </w:p>
    <w:p>
      <w:pPr>
        <w:spacing w:after="0" w:line="123"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In this section, references to “we,” “our,” “us,” and “the Company” refer to post-merger Neurogene Inc. and our wholly owned subsidiary incorporated in the state of Nevada, also named Neurogene Inc. (“Neurogene OpCo”), unless otherwise indicated.</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18" w:lineRule="exact"/>
        <w:rPr>
          <w:sz w:val="20"/>
          <w:szCs w:val="20"/>
          <w:color w:val="auto"/>
        </w:rPr>
      </w:pPr>
    </w:p>
    <w:p>
      <w:pPr>
        <w:jc w:val="both"/>
        <w:ind w:firstLine="309"/>
        <w:spacing w:after="0" w:line="247" w:lineRule="auto"/>
        <w:rPr>
          <w:sz w:val="20"/>
          <w:szCs w:val="20"/>
          <w:color w:val="auto"/>
        </w:rPr>
      </w:pPr>
      <w:r>
        <w:rPr>
          <w:rFonts w:ascii="Times New Roman" w:cs="Times New Roman" w:eastAsia="Times New Roman" w:hAnsi="Times New Roman"/>
          <w:sz w:val="17"/>
          <w:szCs w:val="17"/>
          <w:color w:val="auto"/>
        </w:rPr>
        <w:t>Despite recent scientific advances in genetics, most neurological diseases, particularly those with devastating consequences to patients, are left untreated. Conventional gene therapy is an attractive potential treatment approach for only a limited number of monogenic diseases due to the challenges caused by the complex biology of neurological diseases and by inherent variable transgene uptake and expression. We are a clinical-stage biotechnology company committed to overcoming these limitations and turning today’s complex devastating neurological diseases into treatable conditions. We are building a robust and differentiated product portfolio of genetic medicines for rare neurological diseases with high unmet need not otherwise addressable by conventional gene therapy. One approach we are taking harnesses our proprietary transgene regulation technology, EXACT</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(Expression Attenuation via Construct Tuning), that utilizes microRNA-based genetic circuits designed to deliver therapeutic levels of transgene to key areas of the brain that underlie neurological disease pathology.</w:t>
      </w:r>
    </w:p>
    <w:p>
      <w:pPr>
        <w:spacing w:after="0" w:line="200" w:lineRule="exact"/>
        <w:rPr>
          <w:sz w:val="20"/>
          <w:szCs w:val="20"/>
          <w:color w:val="auto"/>
        </w:rPr>
      </w:pPr>
    </w:p>
    <w:p>
      <w:pPr>
        <w:spacing w:after="0" w:line="34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3" w:name="page24"/>
    <w:bookmarkEnd w:id="2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49" w:lineRule="auto"/>
        <w:rPr>
          <w:sz w:val="20"/>
          <w:szCs w:val="20"/>
          <w:color w:val="auto"/>
        </w:rPr>
      </w:pPr>
      <w:r>
        <w:rPr>
          <w:rFonts w:ascii="Times New Roman" w:cs="Times New Roman" w:eastAsia="Times New Roman" w:hAnsi="Times New Roman"/>
          <w:sz w:val="17"/>
          <w:szCs w:val="17"/>
          <w:color w:val="auto"/>
        </w:rPr>
        <w:t xml:space="preserve">Our first clinical-stage program, NGN-401, is in development for the treatment of Rett syndrome, a severe and progressive neurodevelopmental disease with substantial neurological and physical impairments and significant unmet need. NGN-401 is purposefully designed to utilize the EXACT platform and adeno-associated virus (“AAV”) delivery via intracerebroventricular (“ICV”) administration, and to deliver the full-length </w:t>
      </w:r>
      <w:r>
        <w:rPr>
          <w:rFonts w:ascii="Times New Roman" w:cs="Times New Roman" w:eastAsia="Times New Roman" w:hAnsi="Times New Roman"/>
          <w:sz w:val="17"/>
          <w:szCs w:val="17"/>
          <w:i w:val="1"/>
          <w:iCs w:val="1"/>
          <w:color w:val="auto"/>
        </w:rPr>
        <w:t>MECP2</w:t>
      </w:r>
      <w:r>
        <w:rPr>
          <w:rFonts w:ascii="Times New Roman" w:cs="Times New Roman" w:eastAsia="Times New Roman" w:hAnsi="Times New Roman"/>
          <w:sz w:val="17"/>
          <w:szCs w:val="17"/>
          <w:color w:val="auto"/>
        </w:rPr>
        <w:t xml:space="preserve"> gene which preserves the complete set of endogenous regulatory elements to restore functional MeCP2 protein. Our ongoing registrational trial of NGN-401, Embolden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is a single-arm, open-label, baseline-controlled trial evaluating the 1E15 vg dose of NGN-401 in females with Rett syndrome. The Embolden trial is designed to evaluate NGN-401 in females ages three and above with potential to support a broad label in a single study and enable an efficient path to market. Approximately 90% of participants have been dosed in Embolden, and we are on track to complete dosing in the second quarter of 2026. We completed dosing in a Phase 1/2 open-label, multi-center clinical trial of NGN-401 gene therapy for Rett syndrome, with ten participants receiving the 1E15 vg dose. NGN-401 is delivered using a one-time ICV procedure, which we believe is the most suitable route of administration to achieve optimal biodistribution in key regions of the brain and other parts of the nervous system that underlie Rett syndrome pathophysiology. Clinical grade NGN-401 manufactured at our fully operational current good manufacturing practices (“cGMP”) facility in Houston, Texas was used for dosing in the Phase 1/2 clinical trial and is being used for the Embolden trial. We believe that our in-house manufacturing capabilities better enable control of product quality and development timelines, strategic pipeline and financial flexibility, and clinical-to-commercial continuity.</w:t>
      </w:r>
    </w:p>
    <w:p>
      <w:pPr>
        <w:spacing w:after="0" w:line="16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received clearance of our Investigational New Drug (“IND”) application by the U.S. Food and Drug Administration (“FDA”) in January 2023. We completed enrollment in the Phase 1/2 open-label, multi-center clinical trial evaluating NGN-401 for the treatment of female patients with classic Rett syndrome in the second quarter of 2025. The trial is assessing the safety, tolerability, and efficacy of NGN-401 at a dose of 1E15 vg in eight participants in an ages 4-10 years cohort and two participants in an ages 11 years and older cohort.</w:t>
      </w:r>
    </w:p>
    <w:p>
      <w:pPr>
        <w:spacing w:after="0" w:line="13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November 2025, we announced updated positive interim clinical data from the Phase 1/2 NGN-401 trial in the pediatric cohort (ages 4-10) receiving the 1E15 vg dose (n=8 for efficacy data; n=10 for safety data, including pediatric and adolescent/adult participants) with a data cutoff date of October 30, 2025.</w:t>
      </w:r>
    </w:p>
    <w:p>
      <w:pPr>
        <w:spacing w:after="0" w:line="113" w:lineRule="exact"/>
        <w:rPr>
          <w:sz w:val="20"/>
          <w:szCs w:val="20"/>
          <w:color w:val="auto"/>
        </w:rPr>
      </w:pPr>
    </w:p>
    <w:p>
      <w:pPr>
        <w:jc w:val="both"/>
        <w:ind w:firstLine="309"/>
        <w:spacing w:after="0" w:line="217" w:lineRule="exact"/>
        <w:rPr>
          <w:sz w:val="20"/>
          <w:szCs w:val="20"/>
          <w:color w:val="auto"/>
        </w:rPr>
      </w:pPr>
      <w:r>
        <w:rPr>
          <w:rFonts w:ascii="Times New Roman" w:cs="Times New Roman" w:eastAsia="Times New Roman" w:hAnsi="Times New Roman"/>
          <w:sz w:val="17"/>
          <w:szCs w:val="17"/>
          <w:color w:val="auto"/>
        </w:rPr>
        <w:t>All pediatric participants, regardless of baseline disease severity, experienced functional gains, with an aggregate 35 developmental milestones gained across core clinical domains of Rett syndrome, including hand function/fine motor, language/communication and ambulation/gross motor. Participants with longer term follow-up continued to gain developmental milestones and those more recently dosed with six months of follow-up also demonstrated milestone gains. All developmental milestones and CGI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I improvements reported as of November 2024 were durable as of the data cutoff date, with no changes observed.</w:t>
      </w:r>
    </w:p>
    <w:p>
      <w:pPr>
        <w:spacing w:after="0" w:line="13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As of October 30, 2025, four out of five participants with at least 12 months of follow-up met the responder definition of the primary endpoint planned for assessment at Month 12 in the Embolden trial. The three participants with six months of follow-up have also showed early clinical activity, consistent with previously dosed participants.</w:t>
      </w:r>
    </w:p>
    <w:p>
      <w:pPr>
        <w:spacing w:after="0" w:line="127"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We also reported safety and tolerability data from the ten participants in the Phase 1/2 clinical trial who received the 1E15 vg dose of NGN-401 as of the data cutoff date of October 30, 2025. We believe that NGN-401 has been generally well-tolerated at the 1E15 vg dose, with no cases of hemophagocytic lymphohistiocytosis (“HLH”) in any participant at this dose. All treatment-related adverse events (“AEs”) have been Grade 1 (mild) or Grade 2 (moderate) in severity, and the majority are known potential risks of AAV and have resolved or are resolving. Participant 5 experienced two Grade 2 serious adverse events (“SAEs”) related to an abnormal nerve conduction finding - areflexia and related elective inpatient diagnostic testing. The nerve conduction finding has returned to the normal range. Unrelated to NGN-401, Participant 5 also experienced a leg fracture confounding her Month 12 gross motor assessment.</w:t>
      </w:r>
    </w:p>
    <w:p>
      <w:pPr>
        <w:spacing w:after="0" w:line="13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The Phase 1/2 trial previously included a cohort evaluating a 3E15 vg dose of NGN-401. In November 2024, the third participant receiving the 3E15 vg dose died following complications from a rare hyperinflammatory syndrome associated with systemic exposure to high doses of AAV, and we discontinued use of that dose. Hyperinflammatory syndromes can include HLH and multisystem inflammatory syndrome.</w:t>
      </w:r>
    </w:p>
    <w:p>
      <w:pPr>
        <w:spacing w:after="0" w:line="140"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Based on research we conducted in 2025 related to hyperinflammatory syndromes and AAV gene therapy, HLH has only been reported following doses of AAV that are generally in the 1E14 vg/kg range or higher. The 1E15 vg dose used in the Phase 1/2 trial and in the Embolden registrational trial translates into the E13 vg/kg range, and we are not aware of any case of HLH ever being reported at this dose. Out of an abundance of caution, we incorporated enhanced monitoring into our Phase 1/2 and Embolden protocols for HLH markers, including ferritin, and a treatment algorithm that when administered early, has been used successfully to treat cases of HLH both in other AAV gene therapies and other known causes of HLH.</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4" w:name="page25"/>
    <w:bookmarkEnd w:id="2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June 2025, we first announced written agreement from the FDA on key elements of the NGN-401 EmboldenTM registrational trial design, and we confirmed these elements and the trial design in September 2025. Embolden is a single-arm, open-label, baseline-controlled trial evaluating the 1E15 vg dose of NGN-401 in females with Rett syndrome. The trial is designed to evaluate NGN-401 in females ages three and above with potential to support a broad label in a single study and enable an efficient path to market.</w:t>
      </w:r>
    </w:p>
    <w:p>
      <w:pPr>
        <w:spacing w:after="0" w:line="14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The primary endpoint is a responder-based composite endpoint that will assess an improvement in the Clinical Global Impression–Improvement Scale (“CGI-I”) with Rett syndrome anchors and the gain of a developmental milestone, compared to the participant’s own baseline. Responders are defined as participants who attain a CGI-I score less than or equal to three (“minimally improved”) and gain any one developmental milestone from a list of 28, as captured through standardized video recordings and independently verified by blinded central raters at the 12-month endpoint. A response rate of 35% is the minimum threshold for success to reject the null hypothesis in the Embolden trial.</w:t>
      </w:r>
    </w:p>
    <w:p>
      <w:pPr>
        <w:spacing w:after="0" w:line="136"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Approximately 90% of participants have been dosed in Embolden. We are on track to complete dosing in the second quarter of 2026. NGN-401 at the 1E15 vg dose has been generally well-tolerated in the Phase 1/2 trial and Embolden, with no cases of HLH as of May 11, 2026. We expect to present updated interim safety and efficacy data on the pediatric cohort and the adolescent/adult cohort from the Phase 1/2 trial in mid-2026.</w:t>
      </w:r>
    </w:p>
    <w:p>
      <w:pPr>
        <w:spacing w:after="0" w:line="127"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previously reached alignment with the FDA on our potency assay strategy and chemistry, manufacturing and control (“CMC”) planning for the program. We plan to initiate our Process Performance Qualification (“PPQ”) campaign in mid-2026 and confirmed our commercial manufacturing scale is the same as our current clinical manufacturing scale, removing the need for comparability studies.</w:t>
      </w:r>
    </w:p>
    <w:p>
      <w:pPr>
        <w:spacing w:after="0" w:line="140"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In February 2026, we announced that NGN-401 received Breakthrough Therapy designation based on the FDA’s review of interim efficacy and safety data from the Phase 1/2 trial as of the data cutoff date of October 30, 2025, including patient-level data and supporting video documentation. Breakthrough Therapy designation is intended to expedite the development and review of medicines for the treatment of serious conditions which have shown preliminary clinical evidence indicating the potential for substantial improvement over available therapies on a clinically significant endpoint. The benefits of Breakthrough Therapy designation include eligibility for Priority Review, rolling submission of sections of the BLA and the FDA’s organizational commitment to help determine an efficient route to approval.</w:t>
      </w:r>
    </w:p>
    <w:p>
      <w:pPr>
        <w:spacing w:after="0" w:line="13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 March 2025, we announced that NGN-401 received Priority Medicines (“PRIME”) designation by the European Medicines Agency (“EMA”). Medicines are eligible for PRIME if they demonstrate the potential to address an unmet medical need by showing a meaningful improvement of clinical outcomes.</w:t>
      </w:r>
    </w:p>
    <w:p>
      <w:pPr>
        <w:spacing w:after="0" w:line="11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August 2024, we announced that NGN-401 received Regenerative Medicine Advanced Therapy (“RMAT”) designation from the FDA. RMAT designation is granted for regenerative medicines intended to treat, modify, reverse, or cure a serious or life-threatening disease or condition, and with preliminary clinical evidence that indicates that the drug has the potential to address unmet medical needs. Benefits of the RMAT designation program include early and frequent communications with FDA senior managers, intensive guidance on efficient drug development and eligibility for an Accelerated Approval pathway and Priority Review.</w:t>
      </w:r>
    </w:p>
    <w:p>
      <w:pPr>
        <w:spacing w:after="0" w:line="149"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June 2024, we announced that NGN-401 was one of four sponsors selected by the Center for Biologics Evaluation and Research at the FDA to participate in the FDA’s Support for clinical Trials Advancing Rare disease Therapeutics (“START”) pilot program based on potential for clinical benefits and clinical development program readiness. As part of the START program, we have opportunities for enhanced communications with the FDA, with the aim to further accelerate the pace of NGN-401’s development. These opportunities are designed to provide frequent advice and regular ad-hoc conversations to address product-specific development issues, including, but not limited to, clinical study design, choice of control group and fine-tuning the choice of patient population.</w:t>
      </w:r>
    </w:p>
    <w:p>
      <w:pPr>
        <w:spacing w:after="0" w:line="136" w:lineRule="exact"/>
        <w:rPr>
          <w:sz w:val="20"/>
          <w:szCs w:val="20"/>
          <w:color w:val="auto"/>
        </w:rPr>
      </w:pPr>
    </w:p>
    <w:p>
      <w:pPr>
        <w:jc w:val="both"/>
        <w:ind w:firstLine="309"/>
        <w:spacing w:after="0" w:line="212" w:lineRule="exact"/>
        <w:rPr>
          <w:sz w:val="20"/>
          <w:szCs w:val="20"/>
          <w:color w:val="auto"/>
        </w:rPr>
      </w:pPr>
      <w:r>
        <w:rPr>
          <w:rFonts w:ascii="Times New Roman" w:cs="Times New Roman" w:eastAsia="Times New Roman" w:hAnsi="Times New Roman"/>
          <w:sz w:val="17"/>
          <w:szCs w:val="17"/>
          <w:color w:val="auto"/>
        </w:rPr>
        <w:t>We believe that our EXACT platform has broad applicability in complex neurological diseases not otherwise easily addressable by conventional gene therapy. In addition to NGN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401, we are advancing early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stage discovery programs leveraging our EXACT platform for other potential indications. These programs are in the discovery stage, and we have not yet selected a clinical development candidate.</w:t>
      </w:r>
    </w:p>
    <w:p>
      <w:pPr>
        <w:spacing w:after="0" w:line="15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also pursued a gene therapy program for the treatment of CLN5 Batten disease. We completed enrollment in a Phase 1/2 clinical trial of NGN-101, and in November 2024, we announced that we do not expect to advance the program at this time. Given the rarity of the disease, continued investment in the program was predicated on alignment with the FDA on a streamlined registrational pathway. To support this objective, we submitted an RMAT application, which was denied. We are currently evaluating options for the program.</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5" w:name="page26"/>
    <w:bookmarkEnd w:id="2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Consistent with our precision drug delivery approach, we believe in utilizing the most optimal route of administration for our genetic medicines that best targets the underlying pathophysiology and biology of the disease to increase the probability of technical and regulatory success. The pathobiology of Rett syndrome involves structures across the brain and other areas of the nervous system. Therefore, it was critical to us to evaluate the optimal route of administration to achieve broad adeno-associated virus serotype 9 (“AAV9”) distribution to key regions relevant for disease. In October 2025, we presented new preclinical data from non-human primates (“NHPs”) demonstrating that ICV delivery of NGN-401 achieves superior AAV biodistribution across brain regions relevant to Rett syndrome, compared to intrathecal lumbar (“IT-L”) delivery.</w:t>
      </w:r>
    </w:p>
    <w:p>
      <w:pPr>
        <w:spacing w:after="0" w:line="14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The head-to-head NHP study compared ICV and IT-L administration of NGN-401 at a dose that approximates the human dose being evaluated in the NGN-401 Phase 1/2 and Embolden clinical trials (1E15 vg) alongside a dose approximately four times higher than the clinically relevant dose administered via IT-L. ICV administration of NGN-401 showed greater expression of the full-length therapeutic </w:t>
      </w:r>
      <w:r>
        <w:rPr>
          <w:rFonts w:ascii="Times New Roman" w:cs="Times New Roman" w:eastAsia="Times New Roman" w:hAnsi="Times New Roman"/>
          <w:sz w:val="17"/>
          <w:szCs w:val="17"/>
          <w:i w:val="1"/>
          <w:iCs w:val="1"/>
          <w:color w:val="auto"/>
        </w:rPr>
        <w:t>MECP2</w:t>
      </w:r>
      <w:r>
        <w:rPr>
          <w:rFonts w:ascii="Times New Roman" w:cs="Times New Roman" w:eastAsia="Times New Roman" w:hAnsi="Times New Roman"/>
          <w:sz w:val="17"/>
          <w:szCs w:val="17"/>
          <w:color w:val="auto"/>
        </w:rPr>
        <w:t xml:space="preserve"> transgene mRNA in key brain regions underlying Rett syndrome pathophysiology when compared to the same IT-L administered dose. Similar levels of transgene RNA expression were observed in the lumbar spinal cord between the two delivery methods. Higher transgene RNA expression in key areas of the brain was also observed when ICV was compared to the approximately four times higher dose IT-L cohort. Comparable peripheral exposure of vector genome biodistribution was observed in peripheral organs, including the liver, between equivalent ICV and IT-L doses, consistent with data from intra-CSF administered products.</w:t>
      </w:r>
    </w:p>
    <w:p>
      <w:pPr>
        <w:spacing w:after="0" w:line="140"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These findings are consistent with preclinical data generated by us previously using a different transgene and lower dose as well as other independent laboratories, reinforcing a growing body of evidence that supports ICV delivery for achieving greater expression in the brain.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81915</wp:posOffset>
            </wp:positionV>
            <wp:extent cx="5206365" cy="25298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06365" cy="252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Background</w:t>
      </w:r>
    </w:p>
    <w:p>
      <w:pPr>
        <w:spacing w:after="0" w:line="19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were founded in 2018, and have devoted substantially all of our resources to conducting research and development activities and undertaking preclinical studies, establishing our manufacturing facility, conducting clinical trials and the manufacturing of product used in our clinical trials and preclinical studies, business planning, developing and maintaining our intellectual property portfolio, hiring personnel, raising capital, and providing general and administrative support for these activities.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6" w:name="page27"/>
    <w:bookmarkEnd w:id="2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Since our inception, we have funded our operations primarily with outside capital (e.g., proceeds from the sale of preferred stock, common stock and pre-funded warrants) and have raised aggregate net proceeds of approximately $552.1 million. However, we have incurred significant recurring losses, including a net loss of $30.9 million and $22.6 million for the three months ended March 31, 2026 and 2025, respectively. In addition, as of March 31, 2026, we had an accumulated deficit of $383.6 million and cash, cash equivalents and short-term investments totaling $243.2 million. In order to continue our operations, we must achieve profitable operations and/or obtain additional equity or debt financing. Until we achieve profitability, management plans to fund our operations and capital expenditures with cash on hand and the sale and issuance of securities. There can be no assurance that we will be successful in raising additional capital or that such capital, if available, will be on terms that are acceptable to us. If we are unable to raise sufficient additional capital, we may be compelled to consider actions such as reducing the scope of our operations and planned capital expenditures or selling certain assets, including intellectual property assets.</w:t>
      </w:r>
    </w:p>
    <w:p>
      <w:pPr>
        <w:spacing w:after="0" w:line="1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Our net losses may fluctuate significantly from quarter-to-quarter and year-to-year, depending on a variety of factors, including the timing, scope and results of our research and development activities. Management expects that our expenses and capital requirements will increase substantially in connection with our ongoing activities as we:</w:t>
      </w:r>
    </w:p>
    <w:p>
      <w:pPr>
        <w:spacing w:after="0" w:line="62" w:lineRule="exact"/>
        <w:rPr>
          <w:sz w:val="20"/>
          <w:szCs w:val="20"/>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the NGN-401 program through clinical development and, if successful, seek regulatory approvals;</w:t>
      </w:r>
    </w:p>
    <w:p>
      <w:pPr>
        <w:spacing w:after="0" w:line="113" w:lineRule="exact"/>
        <w:rPr>
          <w:rFonts w:ascii="Times New Roman" w:cs="Times New Roman" w:eastAsia="Times New Roman" w:hAnsi="Times New Roman"/>
          <w:sz w:val="17"/>
          <w:szCs w:val="17"/>
          <w:color w:val="auto"/>
        </w:rPr>
      </w:pPr>
    </w:p>
    <w:p>
      <w:pPr>
        <w:ind w:left="940" w:hanging="473"/>
        <w:spacing w:after="0" w:line="28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 in research programs to strengthen our capabilities, including resourcing and evaluating additional technologies that may augment our pipeline of product candidates;</w:t>
      </w:r>
    </w:p>
    <w:p>
      <w:pPr>
        <w:spacing w:after="0" w:line="48"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discovery programs from preclinical development into and through clinical development;</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approvals for any other product candidates that successfully complete clinical trials;</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sales, marketing and distribution infrastructure to commercialize any approved product candidates;</w:t>
      </w:r>
    </w:p>
    <w:p>
      <w:pPr>
        <w:spacing w:after="0" w:line="113" w:lineRule="exact"/>
        <w:rPr>
          <w:rFonts w:ascii="Times New Roman" w:cs="Times New Roman" w:eastAsia="Times New Roman" w:hAnsi="Times New Roman"/>
          <w:sz w:val="17"/>
          <w:szCs w:val="17"/>
          <w:color w:val="auto"/>
        </w:rPr>
      </w:pPr>
    </w:p>
    <w:p>
      <w:pPr>
        <w:ind w:left="940" w:hanging="473"/>
        <w:spacing w:after="0" w:line="287" w:lineRule="auto"/>
        <w:tabs>
          <w:tab w:leader="none" w:pos="9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commercialization infrastructure and scale up internal and external manufacturing and distribution capabilities to commercialize any product candidates for which we may obtain regulatory approval;</w:t>
      </w:r>
    </w:p>
    <w:p>
      <w:pPr>
        <w:spacing w:after="0" w:line="48"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expand clinical, scientific, management and administrative teams;</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protect and enforce our intellectual property portfolio, including patents, trade secrets and know-how;</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operational, financial and management systems; and</w:t>
      </w:r>
    </w:p>
    <w:p>
      <w:pPr>
        <w:spacing w:after="0" w:line="113"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legal, accounting and other expenses related to operating as a public company.</w:t>
      </w:r>
    </w:p>
    <w:p>
      <w:pPr>
        <w:spacing w:after="0" w:line="178"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We do not have any products approved for commercial sale and have not generated any commercial revenue from product sales. Our ability to generate product revenue sufficient to achieve and maintain profitability will depend upon the successful development and eventual commercialization of one or more of our product candidates, which we expect, if it ever occurs, will take many years. We expect to spend a significant amount in development and marketing costs prior to such time. We will therefore require substantial additional capital to develop our product candidates and support our continuing operations. We may never succeed in achieving regulatory and marketing approval for our product candidates. We may obtain unexpected results from our preclinical and clinical trials. For example, in November 2024 we decided not to move forward with the NGN-101 gene therapy program for CLN5 Batten disease, given the rarity of the disease and the lack of a streamlined registrational pathway with the FDA following denial of our RMAT application for that program. We may in the future elect to discontinue, delay, or modify additional preclinical and clinical trials of our other product candidates. A change in the outcome of any of these variables with respect to the development of a product candidate could mean a significant change in the costs and timing associated with the development of that product candidate. Accordingly, until such time that we can generate a sufficient amount of revenue from product sales or other sources, if ever, management expects to finance our operations through private or public equity or debt financings, loans or other capital sources, which could include income from collaborations, partnerships or other marketing, distribution, licensing or other strategic arrangements with third parties, or from grants. However, we may be unable to raise additional capital from these sources on favorable terms, or at all, which could have a material adverse effect on our business. Our management cannot provide assurance that we will ever generate positive cash flow from operating activities. See “</w:t>
      </w:r>
      <w:r>
        <w:rPr>
          <w:rFonts w:ascii="Times New Roman" w:cs="Times New Roman" w:eastAsia="Times New Roman" w:hAnsi="Times New Roman"/>
          <w:sz w:val="17"/>
          <w:szCs w:val="17"/>
          <w:i w:val="1"/>
          <w:iCs w:val="1"/>
          <w:color w:val="auto"/>
        </w:rPr>
        <w:t>Liquidity and Capital Resources”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4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7" w:name="page28"/>
    <w:bookmarkEnd w:id="2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In December 2020, we entered into the Master Collaboration Agreement (“MCA”) with the University Court of the University of Edinburgh (the “University of Edinburgh”), which was amended in November 2023 to extend the term of the MCA to December 2026. This collaboration supports our pipeline development activities, and provides us with the option to in-license product candidates arising from research conducted in Dr. Stuart Cobb’s laboratory. Dr. Cobb serves as our Chief Scientific Officer and is also a Professor at the University of Edinburgh. Under the standard policies of the University of Edinburgh, as a professor inventor, he may be entitled to receive in the future a percentage of certain license-related payments made by us to the University. For more information about the MCA, see “</w:t>
      </w:r>
      <w:r>
        <w:rPr>
          <w:rFonts w:ascii="Times New Roman" w:cs="Times New Roman" w:eastAsia="Times New Roman" w:hAnsi="Times New Roman"/>
          <w:sz w:val="17"/>
          <w:szCs w:val="17"/>
          <w:i w:val="1"/>
          <w:iCs w:val="1"/>
          <w:color w:val="auto"/>
        </w:rPr>
        <w:t>Management’s Discussion &amp; Analysis of Financial Condition and Results of Operations—License and Collaboration Agreements</w:t>
      </w:r>
      <w:r>
        <w:rPr>
          <w:rFonts w:ascii="Times New Roman" w:cs="Times New Roman" w:eastAsia="Times New Roman" w:hAnsi="Times New Roman"/>
          <w:sz w:val="17"/>
          <w:szCs w:val="17"/>
          <w:color w:val="auto"/>
        </w:rPr>
        <w:t>”.</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Impact of Global Economic Events</w:t>
      </w:r>
    </w:p>
    <w:p>
      <w:pPr>
        <w:spacing w:after="0" w:line="182"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Uncertainty in the global economy presents significant risks to our business. We are subject to continued risks and uncertainties related to the current macroeconomic environment, including persistent inflation, changing interest rates, changes in foreign currency exchange rates, changes in trade policies, including tariffs or other trade restrictions or the threat of such actions, changes in domestic and global monetary and fiscal policy, the enactment of the BIOSECURE Act in December 2025, which mandates a transition away from “biotechnology companies of concern,” rapid changes in the regulatory and legislative landscape in the United States, geopolitical factors, including the ongoing conflicts between Russia and Ukraine and in the Middle East and significant volatility in commodity prices, including the price of oil, and the responses thereto, the impacts of climate change, and supply chain disruptions. While management is closely monitoring the impact of the current macroeconomic conditions on aspects of our business, including the impacts on our participants in our Phase 1/2 and Embolden clinical trials, employees, suppliers, vendors and business partners, the ultimate extent of the direct and indirect impacts on our business remains highly uncertain and will depend on future developments and factors that continue to evolve. Most of these developments and factors are outside of our control and could exist for an extended period of time. Management will continue to evaluate the nature and extent of the potential impacts to our business, results of operations, liquidity and capital resources. For additional information, see the section entitled “Risk Factors.”</w:t>
      </w:r>
    </w:p>
    <w:p>
      <w:pPr>
        <w:spacing w:after="0" w:line="2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8"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consist primarily of costs incurred in connection with the discovery and development of our product candidates. We expense research and development costs as incurred, including:</w:t>
      </w:r>
    </w:p>
    <w:p>
      <w:pPr>
        <w:spacing w:after="0" w:line="48" w:lineRule="exact"/>
        <w:rPr>
          <w:sz w:val="20"/>
          <w:szCs w:val="20"/>
          <w:color w:val="auto"/>
        </w:rPr>
      </w:pPr>
    </w:p>
    <w:p>
      <w:pPr>
        <w:ind w:left="780" w:hanging="313"/>
        <w:spacing w:after="0" w:line="263"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to conduct the necessary discovery-stage laboratory work, preclinical studies and clinical trials required to obtain regulatory approval;</w:t>
      </w:r>
    </w:p>
    <w:p>
      <w:pPr>
        <w:spacing w:after="0" w:line="301"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acquired licenses and intellectual property that are accounted for as asset acquisitions and have no alternative future use;</w:t>
      </w:r>
    </w:p>
    <w:p>
      <w:pPr>
        <w:spacing w:after="0" w:line="113" w:lineRule="exact"/>
        <w:rPr>
          <w:rFonts w:ascii="Times New Roman" w:cs="Times New Roman" w:eastAsia="Times New Roman" w:hAnsi="Times New Roman"/>
          <w:sz w:val="17"/>
          <w:szCs w:val="17"/>
          <w:color w:val="auto"/>
        </w:rPr>
      </w:pPr>
    </w:p>
    <w:p>
      <w:pPr>
        <w:ind w:left="780" w:hanging="313"/>
        <w:spacing w:after="0" w:line="287"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 expenses, including salaries, benefits and stock-based compensation expense for our employees engaged in research and development functions;</w:t>
      </w:r>
    </w:p>
    <w:p>
      <w:pPr>
        <w:spacing w:after="0" w:line="48" w:lineRule="exact"/>
        <w:rPr>
          <w:rFonts w:ascii="Times New Roman" w:cs="Times New Roman" w:eastAsia="Times New Roman" w:hAnsi="Times New Roman"/>
          <w:sz w:val="17"/>
          <w:szCs w:val="17"/>
          <w:color w:val="auto"/>
        </w:rPr>
      </w:pPr>
    </w:p>
    <w:p>
      <w:pPr>
        <w:ind w:left="780" w:hanging="313"/>
        <w:spacing w:after="0" w:line="287"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funding research performed by third parties, including pursuant to agreements with clinical research organizations (“CROs”) that conduct our clinical trials, as well as investigative sites, consultants and CROs that conduct our preclinical and nonclinical studies;</w:t>
      </w:r>
    </w:p>
    <w:p>
      <w:pPr>
        <w:spacing w:after="0" w:line="48" w:lineRule="exact"/>
        <w:rPr>
          <w:rFonts w:ascii="Times New Roman" w:cs="Times New Roman" w:eastAsia="Times New Roman" w:hAnsi="Times New Roman"/>
          <w:sz w:val="17"/>
          <w:szCs w:val="17"/>
          <w:color w:val="auto"/>
        </w:rPr>
      </w:pPr>
    </w:p>
    <w:p>
      <w:pPr>
        <w:ind w:left="780" w:hanging="313"/>
        <w:spacing w:after="0" w:line="287" w:lineRule="auto"/>
        <w:tabs>
          <w:tab w:leader="none" w:pos="77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our third-party contract development and manufacturing organizations (“CDMOs”), as well as internal manufacturing scale-up expenses, including the cost of acquiring and manufacturing preclinical study and clinical trial materials;</w:t>
      </w:r>
    </w:p>
    <w:p>
      <w:pPr>
        <w:spacing w:after="0" w:line="48"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consultants who assist with research and development activities;</w:t>
      </w:r>
    </w:p>
    <w:p>
      <w:pPr>
        <w:spacing w:after="0" w:line="113"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related to regulatory activities, including filing fees paid to regulatory agencies; and</w:t>
      </w:r>
    </w:p>
    <w:p>
      <w:pPr>
        <w:spacing w:after="0" w:line="113"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allocated expenses for facility costs, including rent, utilities, depreciation and maintenance.</w:t>
      </w:r>
    </w:p>
    <w:p>
      <w:pPr>
        <w:spacing w:after="0" w:line="19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Before a product receives regulatory approval, we record upfront and milestone payments to third parties under licensing arrangements as expense, provided that there is no alternative future use of the rights in other research and development projects.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Non-refundable prepayments for research and development costs that are paid in advance of performance are capitalized as a prepaid expense and amortized over the service period as the services are provided. Costs for certain development activities, such as outside research programs funded by us, are recognized based on an evaluation of the progress to completion of specific tasks with respect to their actual costs incurred. Payments for these activities are based on the terms of the individual arrangements, which may differ from the pattern of costs incurred, and are reflected in the financial statements as prepaid or accrued research and development expense as applicable.</w:t>
      </w:r>
    </w:p>
    <w:p>
      <w:pPr>
        <w:spacing w:after="0" w:line="1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track outsourced development costs and other external research and development costs to specific product candidates on a program-by-program basis, including fees paid to CROs, CDMOs and research laboratories in connection with our preclinical development, process development, and clinical development activities. We also incur personnel and other operating expenses for research and development programs, which are presented in aggregate.</w:t>
      </w:r>
    </w:p>
    <w:p>
      <w:pPr>
        <w:spacing w:after="0" w:line="12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including later-stage clinical trials for current and future product candidates, and prepare regulatory filings for our product candidates.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9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expenses also include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3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legal support and accountants, among other expenses. If any of our current or future product candidates obtains U.S. regulatory approval, we expect that we would incur significantly increased expenses associated with building a sales and marketing team, as well as an expanded regulatory and compliance function.</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9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Interest income consists primarily of interest earned on our cash, cash equivalents and short-term investments. We expect our interest income to fluctuate depending on interest rates and the amount of cash that is invested.</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Income Taxes</w:t>
      </w:r>
    </w:p>
    <w:p>
      <w:pPr>
        <w:spacing w:after="0" w:line="221"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assess our income tax positions and record tax benefits based upon management’s evaluation of the facts, circumstances, and information available at the reporting date. For those tax positions where it is more likely than not that a tax benefit will be sustained, we record the amount of tax benefit with a greater than 50% likelihood of being realized upon ultimate settlement with a taxing authority having full knowledge of all relevant information. For those income tax positions for which it is not more likely than not that a tax benefit will be sustained, no tax benefit is recognized in the financial statements.</w:t>
      </w:r>
    </w:p>
    <w:p>
      <w:pPr>
        <w:spacing w:after="0" w:line="13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Since inception, we have not recorded any income tax benefits for net operating losses (“NOLs”) or for our research and development tax credits, as we believe, based upon the weight of available evidence, that it is more likely than not that all of our NOLs and tax credits will not be realized. Accordingly, we have established a valuation allowance against such deferred tax assets for all periods since inception.</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As of December 31, 2025, we had federal and state NOL carryforwards in the amount of $372.2 million and $43.5 million, respectively, which may be available to offset future taxable income. The state NOL carryforwards will begin to expire in 2038, unless previously utilized. Most federal NOL carryforwards were generated subsequent to January 1, 2018, and therefore are able to be carried forward indefinitely. As of December 31, 2025, we also had federal research tax credit and federal orphan drug tax credit carryforwards of $8.5 million and $10.0 million, respectively, which may be used to offset future tax liabilities. These tax and orphan drug credit carryforwards begin to expire in 2039 and 2043, respectively, unless previously utilized.</w:t>
      </w:r>
    </w:p>
    <w:p>
      <w:pPr>
        <w:spacing w:after="0" w:line="2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Three Months Ended March 31, 2026 and 2025</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periods indicated (in thousands):</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gridSpan w:val="7"/>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5"/>
        </w:trPr>
        <w:tc>
          <w:tcPr>
            <w:tcW w:w="7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5"/>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5"/>
        </w:trPr>
        <w:tc>
          <w:tcPr>
            <w:tcW w:w="7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5"/>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232"/>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 expenses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25,150</w:t>
            </w:r>
          </w:p>
        </w:tc>
        <w:tc>
          <w:tcPr>
            <w:tcW w:w="8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17,760</w:t>
            </w:r>
          </w:p>
        </w:tc>
        <w:tc>
          <w:tcPr>
            <w:tcW w:w="8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7,390</w:t>
            </w:r>
          </w:p>
        </w:tc>
      </w:tr>
      <w:tr>
        <w:trPr>
          <w:trHeight w:val="25"/>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8"/>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8,159</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5"/>
        </w:trPr>
        <w:tc>
          <w:tcPr>
            <w:tcW w:w="71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33,349</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25,919</w:t>
            </w: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7,430</w:t>
            </w:r>
          </w:p>
        </w:tc>
      </w:tr>
      <w:tr>
        <w:trPr>
          <w:trHeight w:val="25"/>
        </w:trPr>
        <w:tc>
          <w:tcPr>
            <w:tcW w:w="7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1"/>
        </w:trPr>
        <w:tc>
          <w:tcPr>
            <w:tcW w:w="712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(7,430)</w:t>
            </w:r>
          </w:p>
        </w:tc>
      </w:tr>
      <w:tr>
        <w:trPr>
          <w:trHeight w:val="196"/>
        </w:trPr>
        <w:tc>
          <w:tcPr>
            <w:tcW w:w="712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r>
      <w:tr>
        <w:trPr>
          <w:trHeight w:val="29"/>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8"/>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3,206</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r>
      <w:tr>
        <w:trPr>
          <w:trHeight w:val="232"/>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r>
      <w:tr>
        <w:trPr>
          <w:trHeight w:val="25"/>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8"/>
        </w:trPr>
        <w:tc>
          <w:tcPr>
            <w:tcW w:w="7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32"/>
        </w:trPr>
        <w:tc>
          <w:tcPr>
            <w:tcW w:w="7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5"/>
        </w:trPr>
        <w:tc>
          <w:tcPr>
            <w:tcW w:w="7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6"/>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(30,934)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(22,647)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(8,287)</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1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research and development expenses for the periods indicated (in thousands):</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40" w:type="dxa"/>
            <w:vAlign w:val="bottom"/>
            <w:gridSpan w:val="7"/>
          </w:tcPr>
          <w:p>
            <w:pPr>
              <w:jc w:val="right"/>
              <w:ind w:right="57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5"/>
        </w:trPr>
        <w:tc>
          <w:tcPr>
            <w:tcW w:w="7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7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5"/>
        </w:trPr>
        <w:tc>
          <w:tcPr>
            <w:tcW w:w="7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Program specific expenses:</w:t>
            </w:r>
          </w:p>
        </w:tc>
        <w:tc>
          <w:tcPr>
            <w:tcW w:w="2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32"/>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Rett syndrome</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11,037</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4,524</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6,513</w:t>
            </w:r>
          </w:p>
        </w:tc>
      </w:tr>
      <w:tr>
        <w:trPr>
          <w:trHeight w:val="25"/>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7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Batten disease</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845</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w:t>
            </w:r>
          </w:p>
        </w:tc>
      </w:tr>
      <w:tr>
        <w:trPr>
          <w:trHeight w:val="232"/>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Early Discovery</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r>
      <w:tr>
        <w:trPr>
          <w:trHeight w:val="25"/>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7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Unallocated internal expenses: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32"/>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Personnel-related</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6,456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r>
      <w:tr>
        <w:trPr>
          <w:trHeight w:val="25"/>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7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1,570</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w:t>
            </w:r>
          </w:p>
        </w:tc>
      </w:tr>
      <w:tr>
        <w:trPr>
          <w:trHeight w:val="232"/>
        </w:trPr>
        <w:tc>
          <w:tcPr>
            <w:tcW w:w="7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Manufacturing</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1,090</w:t>
            </w:r>
          </w:p>
        </w:tc>
      </w:tr>
      <w:tr>
        <w:trPr>
          <w:trHeight w:val="25"/>
        </w:trPr>
        <w:tc>
          <w:tcPr>
            <w:tcW w:w="7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8"/>
        </w:trPr>
        <w:tc>
          <w:tcPr>
            <w:tcW w:w="71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51"/>
        </w:trPr>
        <w:tc>
          <w:tcPr>
            <w:tcW w:w="7120" w:type="dxa"/>
            <w:vAlign w:val="bottom"/>
          </w:tcPr>
          <w:p>
            <w:pPr>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25,150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17,760</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7,390</w:t>
            </w:r>
          </w:p>
        </w:tc>
      </w:tr>
      <w:tr>
        <w:trPr>
          <w:trHeight w:val="20"/>
        </w:trPr>
        <w:tc>
          <w:tcPr>
            <w:tcW w:w="7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Research and development expenses were $25.2 million for the three months ended March 31, 2026, as compared to $17.8 million for the three months ended March 31, 2025.</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0" w:name="page31"/>
    <w:bookmarkEnd w:id="3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Expenses related to the Rett syndrome program increased primarily due to a $5.1 million increase in clinical trial costs related to the Phase 1/2 and pivotal clinical trial of NGN-401, a $2.4 million increase in chemistry, manufacturing and controls (“CMC”) costs primarily related to CDMO support for NGN-401 and a $1.0 million decrease in preclinical costs. The decrease in expenses related to the Batten disease program was primarily driven by a $0.6 million decrease in clinical trial costs for the Phase 1/2 clinical trial of NGN-101, due to the de-prioritization of the program. The decrease in expenses related to the Early Discovery program was driven by a $0.6 million decrease in preclinical costs primarily due to lower costs of preclinical development for the Early Discovery program.</w:t>
      </w:r>
    </w:p>
    <w:p>
      <w:pPr>
        <w:spacing w:after="0" w:line="149"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The increase in unallocated internal expenses was primarily driven by higher salaries, benefits, and stock-based compensation costs due to an increase in research and development headcount, as well as an increase in laboratory consumables expense related to CMC.</w:t>
      </w:r>
    </w:p>
    <w:p>
      <w:pPr>
        <w:spacing w:after="0" w:line="11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expect that our research and development expenses will continue to increase for the foreseeable future as we advance our programs and product candidates into and through clinical development and, as we continue to develop additional product candidates, build our manufacturing capabilities and develop our EXACT technology.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general and administrative expenses for the periods indicated (in thousands):</w:t>
      </w:r>
    </w:p>
    <w:p>
      <w:pPr>
        <w:spacing w:after="0" w:line="226"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00" w:type="dxa"/>
            <w:vAlign w:val="bottom"/>
            <w:gridSpan w:val="7"/>
          </w:tcPr>
          <w:p>
            <w:pPr>
              <w:jc w:val="right"/>
              <w:ind w:right="614"/>
              <w:spacing w:after="0"/>
              <w:rPr>
                <w:sz w:val="20"/>
                <w:szCs w:val="20"/>
                <w:color w:val="auto"/>
              </w:rPr>
            </w:pPr>
            <w:r>
              <w:rPr>
                <w:rFonts w:ascii="Times New Roman" w:cs="Times New Roman" w:eastAsia="Times New Roman" w:hAnsi="Times New Roman"/>
                <w:sz w:val="17"/>
                <w:szCs w:val="17"/>
                <w:b w:val="1"/>
                <w:bCs w:val="1"/>
                <w:color w:val="auto"/>
              </w:rPr>
              <w:t>Three Months Ended March 31,</w:t>
            </w:r>
          </w:p>
        </w:tc>
      </w:tr>
      <w:tr>
        <w:trPr>
          <w:trHeight w:val="25"/>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5"/>
        </w:trPr>
        <w:tc>
          <w:tcPr>
            <w:tcW w:w="7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3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354"/>
              <w:spacing w:after="0"/>
              <w:rPr>
                <w:sz w:val="20"/>
                <w:szCs w:val="20"/>
                <w:color w:val="auto"/>
              </w:rPr>
            </w:pPr>
            <w:r>
              <w:rPr>
                <w:rFonts w:ascii="Times New Roman" w:cs="Times New Roman" w:eastAsia="Times New Roman" w:hAnsi="Times New Roman"/>
                <w:sz w:val="17"/>
                <w:szCs w:val="17"/>
                <w:b w:val="1"/>
                <w:bCs w:val="1"/>
                <w:color w:val="auto"/>
              </w:rPr>
              <w:t>2025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Change</w:t>
            </w:r>
          </w:p>
        </w:tc>
      </w:tr>
      <w:tr>
        <w:trPr>
          <w:trHeight w:val="25"/>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 specific expenses:</w:t>
            </w:r>
          </w:p>
        </w:tc>
        <w:tc>
          <w:tcPr>
            <w:tcW w:w="2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r>
      <w:tr>
        <w:trPr>
          <w:trHeight w:val="232"/>
        </w:trPr>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Personnel-related</w:t>
            </w:r>
          </w:p>
        </w:tc>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2,626</w:t>
            </w:r>
          </w:p>
        </w:tc>
        <w:tc>
          <w:tcPr>
            <w:tcW w:w="100" w:type="dxa"/>
            <w:vAlign w:val="bottom"/>
          </w:tcPr>
          <w:p>
            <w:pPr>
              <w:spacing w:after="0"/>
              <w:rPr>
                <w:sz w:val="20"/>
                <w:szCs w:val="20"/>
                <w:color w:val="auto"/>
              </w:rPr>
            </w:pP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80" w:type="dxa"/>
            <w:vAlign w:val="bottom"/>
          </w:tcPr>
          <w:p>
            <w:pPr>
              <w:spacing w:after="0"/>
              <w:rPr>
                <w:sz w:val="20"/>
                <w:szCs w:val="20"/>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142</w:t>
            </w:r>
          </w:p>
        </w:tc>
      </w:tr>
      <w:tr>
        <w:trPr>
          <w:trHeight w:val="25"/>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7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(640)</w:t>
            </w:r>
          </w:p>
        </w:tc>
      </w:tr>
      <w:tr>
        <w:trPr>
          <w:trHeight w:val="232"/>
        </w:trPr>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Professional and consultant fees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25"/>
        </w:trPr>
        <w:tc>
          <w:tcPr>
            <w:tcW w:w="7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8"/>
        </w:trPr>
        <w:tc>
          <w:tcPr>
            <w:tcW w:w="7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Office-related</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r>
      <w:tr>
        <w:trPr>
          <w:trHeight w:val="232"/>
        </w:trPr>
        <w:tc>
          <w:tcPr>
            <w:tcW w:w="70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435</w:t>
            </w:r>
          </w:p>
        </w:tc>
      </w:tr>
      <w:tr>
        <w:trPr>
          <w:trHeight w:val="25"/>
        </w:trPr>
        <w:tc>
          <w:tcPr>
            <w:tcW w:w="7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6"/>
        </w:trPr>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general and administrative expenses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8,159</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41"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were $8.2 million for the three months ended March 31, 2026, as compared to $8.2 million for the three months ended March 31, 2025. General and administrative expenses were comparable to prior year, with increases primarily attributable to: (i) a $0.4 million increase in other expenses, primarily related to higher corporate costs and pre-commercial activities, (ii) a $0.1 million increase in personnel-related expenses, reflecting higher headcount to support business operations, and (iii) a $0.1 million increase in professional and consultant fees, primarily due to higher patent and IT services costs. These increases were partially offset by a $0.6 million decrease in stock-based compensation expense.</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expect general and administrative expenses to increase in future periods as we continue to scale our operations.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8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Interest income decreased by $0.9 million for the three months ended March 31, 2026, as compared to the three months ended March 31, 2025. The decrease was primarily due to a decrease in short-term investments and lower yields on cash, cash equivalents, and short-term investment balances.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Income</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 in other income was not material for the three months ended March 31, 2026 and three months ended March 31, 2025.</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Other Expenses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change in other expenses was not material for the three months ended March 31, 2026 as compared to the three months ended March 31, 2025.</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1" w:name="page32"/>
    <w:bookmarkEnd w:id="3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Sources of Liquidity</w:t>
      </w:r>
    </w:p>
    <w:p>
      <w:pPr>
        <w:spacing w:after="0" w:line="184"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Since inception, we have not generated any revenue from product sales and have incurred significant operating losses and negative cash flows from our operations. We expect to continue to incur significant expenses and operating losses for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We believe that our existing capital resources will be sufficient to fund our operations through at least 12 months following the filing date of this Form 10-Q. See the section entitled “Risk Factors” in this Quarterly Report on Form 10-Q for additional risks associated with our substantial capital requirements.</w:t>
      </w:r>
    </w:p>
    <w:p>
      <w:pPr>
        <w:spacing w:after="0" w:line="149"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As of March 31, 2026, we had cash, cash equivalents and short-term investments totaling $243.2 million. Since inception and through the issuance of these financial statements, we have funded our operations primarily through the sales of convertible preferred stock and common stock for net proceeds of approximately $552.1 million, including net proceeds from sale of common stock pursuant to our ATM Sales Agreement.</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Future Capital Requirements</w:t>
      </w:r>
    </w:p>
    <w:p>
      <w:pPr>
        <w:spacing w:after="0" w:line="184" w:lineRule="exact"/>
        <w:rPr>
          <w:sz w:val="20"/>
          <w:szCs w:val="20"/>
          <w:color w:val="auto"/>
        </w:rPr>
      </w:pPr>
    </w:p>
    <w:p>
      <w:pPr>
        <w:jc w:val="both"/>
        <w:ind w:firstLine="309"/>
        <w:spacing w:after="0" w:line="255" w:lineRule="auto"/>
        <w:rPr>
          <w:sz w:val="20"/>
          <w:szCs w:val="20"/>
          <w:color w:val="auto"/>
        </w:rPr>
      </w:pPr>
      <w:r>
        <w:rPr>
          <w:rFonts w:ascii="Times New Roman" w:cs="Times New Roman" w:eastAsia="Times New Roman" w:hAnsi="Times New Roman"/>
          <w:sz w:val="17"/>
          <w:szCs w:val="17"/>
          <w:color w:val="auto"/>
        </w:rPr>
        <w:t>In order to complete the development of our product candidates and to build the sales, marketing and distribution infrastructure that management believes will be necessary to commercialize product candidates, if approved, we will require substantial additional capital. Accordingly, until such time as we can generate a sufficient amount of revenue from product sales or other sources, if ever, management expects to seek to raise any necessary additional capital through private or public equity or debt financings, loans or other capital sources, which could include income from collaborations, partnerships or other marketing, distribution, licensing or other strategic arrangements with third parties, or from grants. To the extent that we raise additional capital through equity financings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including restricting our operations and limiting our ability to incur liens, issue additional debt, pay dividends, repurchase our own common stock, make certain investments or engage in merger, consolidation, licensing, or asset sale transactions. If we raise capital through collaborations, partnerships, and other similar arrangements with third parties, we may be required to grant rights to develop and market product candidates that we would otherwise prefer to develop and market ourselves. We may be unable to raise additional capital from these sources on favorable terms, or at all. Our ability to raise additional capital may be adversely impacted by potential worsening global economic conditions and the recent disruptions to, and volatility in, the credit and financial markets in the United States and worldwide resulting from macroeconomic conditions, geopolitical instability, government regulation and otherwise. The failure to obtain sufficient capital on acceptable terms when needed could have a material adverse effect on our business, results of operations or financial condition, including by requiring us to delay, reduce or curtail our research, product development or future commercialization efforts. We may also be required to license rights to product candidates at an earlier stage of development or on less favorable terms than we would otherwise choose. Management cannot provide assurance that we will ever generate positive cash flow from operating activities.</w:t>
      </w:r>
    </w:p>
    <w:p>
      <w:pPr>
        <w:spacing w:after="0" w:line="143"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In order to continue our operations, we must achieve profitable operations and/or obtain additional equity or debt financing. Until we achieve profitability, management plans to fund our operations and capital expenditures with cash on hand and the sale and issuance of securities. We may not be successful in raising additional capital and such capital, if available, may not be on terms that are acceptable to us.</w:t>
      </w:r>
    </w:p>
    <w:p>
      <w:pPr>
        <w:spacing w:after="0" w:line="140"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have incurred, and expect to continue to incur, additional costs associated with operating as a public company. In addition, we anticipate that we will need substantial additional funding in connection with our continuing operations. Management bases its projections of operating capital requirements on our current operating plan, which includes several assumptions that may prove to be incorrect, and we may use all of our available capital resources sooner than management expects.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firstLine="309"/>
        <w:spacing w:after="0" w:line="287"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research, development and commercialization of product candidates, we are unable to estimate the exact amount and timing of our capital requirements. Our future funding requirements will depend on many factors, including:</w:t>
      </w:r>
    </w:p>
    <w:p>
      <w:pPr>
        <w:spacing w:after="0" w:line="48" w:lineRule="exact"/>
        <w:rPr>
          <w:sz w:val="20"/>
          <w:szCs w:val="20"/>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timing, progress, results, and costs of researching and developing genetic medicines, and conducting larger and later-stage clinical trials;</w:t>
      </w:r>
    </w:p>
    <w:p>
      <w:pPr>
        <w:spacing w:after="0" w:line="113"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timing, progress, results, and costs of researching and developing other product candidates that we may pursue;</w:t>
      </w:r>
    </w:p>
    <w:p>
      <w:pPr>
        <w:spacing w:after="0" w:line="113"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regulatory review of our product candidates;</w:t>
      </w:r>
    </w:p>
    <w:p>
      <w:pPr>
        <w:spacing w:after="0" w:line="113" w:lineRule="exact"/>
        <w:rPr>
          <w:rFonts w:ascii="Times New Roman" w:cs="Times New Roman" w:eastAsia="Times New Roman" w:hAnsi="Times New Roman"/>
          <w:sz w:val="17"/>
          <w:szCs w:val="17"/>
          <w:color w:val="auto"/>
        </w:rPr>
      </w:pPr>
    </w:p>
    <w:p>
      <w:pPr>
        <w:ind w:left="780" w:hanging="313"/>
        <w:spacing w:after="0" w:line="287" w:lineRule="auto"/>
        <w:tabs>
          <w:tab w:leader="none" w:pos="77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future activities, including product sales, medical affairs, marketing, manufacturing, and distribution, for any of our product candidates for which we receive marketing approval;</w:t>
      </w:r>
    </w:p>
    <w:p>
      <w:pPr>
        <w:spacing w:after="0" w:line="48"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manufacturing commercial-grade products and sufficient inventory to support commercial launch;</w:t>
      </w:r>
    </w:p>
    <w:p>
      <w:pPr>
        <w:spacing w:after="0" w:line="113"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revenue, if any, received from commercial sale of our products, should any of our product candidates receive marketing approval;</w:t>
      </w:r>
    </w:p>
    <w:p>
      <w:pPr>
        <w:spacing w:after="0" w:line="113"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and timing of attracting, hiring, and retaining skilled personnel to support our operations and continued growth;</w:t>
      </w:r>
    </w:p>
    <w:p>
      <w:pPr>
        <w:spacing w:after="0" w:line="113" w:lineRule="exact"/>
        <w:rPr>
          <w:rFonts w:ascii="Times New Roman" w:cs="Times New Roman" w:eastAsia="Times New Roman" w:hAnsi="Times New Roman"/>
          <w:sz w:val="17"/>
          <w:szCs w:val="17"/>
          <w:color w:val="auto"/>
        </w:rPr>
      </w:pPr>
    </w:p>
    <w:p>
      <w:pPr>
        <w:ind w:left="780" w:hanging="313"/>
        <w:spacing w:after="0" w:line="287" w:lineRule="auto"/>
        <w:tabs>
          <w:tab w:leader="none" w:pos="77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preparing, filing and prosecuting patent applications, maintaining and enforcing our intellectual property rights and defending intellectual property-related claims;</w:t>
      </w:r>
    </w:p>
    <w:p>
      <w:pPr>
        <w:spacing w:after="0" w:line="48" w:lineRule="exact"/>
        <w:rPr>
          <w:rFonts w:ascii="Times New Roman" w:cs="Times New Roman" w:eastAsia="Times New Roman" w:hAnsi="Times New Roman"/>
          <w:sz w:val="17"/>
          <w:szCs w:val="17"/>
          <w:color w:val="auto"/>
        </w:rPr>
      </w:pPr>
    </w:p>
    <w:p>
      <w:pPr>
        <w:ind w:left="780" w:hanging="313"/>
        <w:spacing w:after="0" w:line="287" w:lineRule="auto"/>
        <w:tabs>
          <w:tab w:leader="none" w:pos="77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maintain, and derive value from collaborations, partnerships or other marketing, distribution, licensing, or other strategic arrangements with third parties on favorable terms, if at all;</w:t>
      </w:r>
    </w:p>
    <w:p>
      <w:pPr>
        <w:spacing w:after="0" w:line="48"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acquire or in-license other product candidates and technologies, if any; and</w:t>
      </w:r>
    </w:p>
    <w:p>
      <w:pPr>
        <w:spacing w:after="0" w:line="113" w:lineRule="exact"/>
        <w:rPr>
          <w:rFonts w:ascii="Times New Roman" w:cs="Times New Roman" w:eastAsia="Times New Roman" w:hAnsi="Times New Roman"/>
          <w:sz w:val="17"/>
          <w:szCs w:val="17"/>
          <w:color w:val="auto"/>
        </w:rPr>
      </w:pPr>
    </w:p>
    <w:p>
      <w:pPr>
        <w:ind w:left="780" w:hanging="313"/>
        <w:spacing w:after="0"/>
        <w:tabs>
          <w:tab w:leader="none" w:pos="7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operating as a public company.</w:t>
      </w:r>
    </w:p>
    <w:p>
      <w:pPr>
        <w:spacing w:after="0" w:line="178"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A change in the outcome of any of these or other factors with respect to the development of any of our product candidates could significantly change the costs and timing associated with the development of that product candidate. Furthermore, our operating plans may change in the future, and we may need additional capital to meet the capital requirements associated with such operating plans.</w:t>
      </w:r>
    </w:p>
    <w:p>
      <w:pPr>
        <w:spacing w:after="0" w:line="2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indicated (in thousands):</w:t>
      </w:r>
    </w:p>
    <w:p>
      <w:pPr>
        <w:spacing w:after="0" w:line="265"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7"/>
          <w:szCs w:val="17"/>
          <w:b w:val="1"/>
          <w:bCs w:val="1"/>
          <w:color w:val="auto"/>
        </w:rPr>
        <w:t>Three Months Ended</w:t>
      </w:r>
    </w:p>
    <w:p>
      <w:pPr>
        <w:spacing w:after="0" w:line="32" w:lineRule="exact"/>
        <w:rPr>
          <w:sz w:val="20"/>
          <w:szCs w:val="20"/>
          <w:color w:val="auto"/>
        </w:rPr>
      </w:pPr>
    </w:p>
    <w:p>
      <w:pPr>
        <w:jc w:val="center"/>
        <w:ind w:left="7960"/>
        <w:spacing w:after="0"/>
        <w:rPr>
          <w:sz w:val="20"/>
          <w:szCs w:val="20"/>
          <w:color w:val="auto"/>
        </w:rPr>
      </w:pPr>
      <w:r>
        <w:rPr>
          <w:rFonts w:ascii="Times New Roman" w:cs="Times New Roman" w:eastAsia="Times New Roman" w:hAnsi="Times New Roman"/>
          <w:sz w:val="17"/>
          <w:szCs w:val="17"/>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5134610</wp:posOffset>
            </wp:positionH>
            <wp:positionV relativeFrom="paragraph">
              <wp:posOffset>22860</wp:posOffset>
            </wp:positionV>
            <wp:extent cx="1939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939925" cy="8255"/>
                    </a:xfrm>
                    <a:prstGeom prst="rect">
                      <a:avLst/>
                    </a:prstGeom>
                    <a:noFill/>
                  </pic:spPr>
                </pic:pic>
              </a:graphicData>
            </a:graphic>
          </wp:anchor>
        </w:drawing>
      </w:r>
    </w:p>
    <w:p>
      <w:pPr>
        <w:spacing w:after="0" w:line="34"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4"/>
              <w:spacing w:after="0"/>
              <w:rPr>
                <w:sz w:val="20"/>
                <w:szCs w:val="20"/>
                <w:color w:val="auto"/>
              </w:rPr>
            </w:pPr>
            <w:r>
              <w:rPr>
                <w:rFonts w:ascii="Times New Roman" w:cs="Times New Roman" w:eastAsia="Times New Roman" w:hAnsi="Times New Roman"/>
                <w:sz w:val="17"/>
                <w:szCs w:val="17"/>
                <w:b w:val="1"/>
                <w:bCs w:val="1"/>
                <w:color w:val="auto"/>
              </w:rPr>
              <w:t>2025</w:t>
            </w:r>
          </w:p>
        </w:tc>
      </w:tr>
      <w:tr>
        <w:trPr>
          <w:trHeight w:val="25"/>
        </w:trPr>
        <w:tc>
          <w:tcPr>
            <w:tcW w:w="7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(20,774)</w:t>
            </w:r>
          </w:p>
        </w:tc>
      </w:tr>
      <w:tr>
        <w:trPr>
          <w:trHeight w:val="232"/>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(45,045)</w:t>
            </w:r>
          </w:p>
        </w:tc>
      </w:tr>
      <w:tr>
        <w:trPr>
          <w:trHeight w:val="25"/>
        </w:trPr>
        <w:tc>
          <w:tcPr>
            <w:tcW w:w="7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8"/>
        </w:trPr>
        <w:tc>
          <w:tcPr>
            <w:tcW w:w="7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5"/>
        </w:trPr>
        <w:tc>
          <w:tcPr>
            <w:tcW w:w="776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20,316</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4"/>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(65,815)</w:t>
            </w:r>
          </w:p>
        </w:tc>
      </w:tr>
      <w:tr>
        <w:trPr>
          <w:trHeight w:val="25"/>
        </w:trPr>
        <w:tc>
          <w:tcPr>
            <w:tcW w:w="7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Cash Flows from Operating Activities</w:t>
      </w:r>
    </w:p>
    <w:p>
      <w:pPr>
        <w:spacing w:after="0" w:line="195"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For the three months ended March 31, 2026, we used $26.1 million of cash in operating activities. Cash used in operating activities reflected our net loss of $30.9 million, a $1.2 million decrease in our net operating assets and non-cash charges of $3.6 million, which consisted primarily of $3.6 million of stock-based compensation, $0.8 million in depreciation and impairment expense and $0.2 million in non-cash operating lease expense partially offset by $0.4 million in accretion on the held-to-maturity investments and $0.7 million change in the contingent value rights liability. The primary use of cash was to fund our operations related to the development of our product candidates.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For the three months ended March 31, 2025, we used $20.8 million of cash in operating activities. Cash used in operating activities reflected our net loss of $22.6 million, a $1.4 million net increase in our operating assets and liabilities, and non-cash charges of $3.3 million, which consisted primarily of $4.0 million in stock-based compensation, $0.7 million in depreciation and $0.2 million in non-cash operating lease expense, partially offset by $1.7 million in accretion on the held-to-maturity investments. The primary use of cash was to fund our operations related to the development of our product candidates.</w:t>
      </w:r>
    </w:p>
    <w:p>
      <w:pPr>
        <w:spacing w:after="0" w:line="1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Cash Flows from Investing Activities</w:t>
      </w:r>
    </w:p>
    <w:p>
      <w:pPr>
        <w:spacing w:after="0" w:line="18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2026, net cash flows provided by investing activities consisted of proceeds from maturities of short-term investments of $130.0 million, partially offset by purchases of short-term investments of $83.5 million and purchases of property and equipment of $0.3 million.</w:t>
      </w:r>
    </w:p>
    <w:p>
      <w:pPr>
        <w:spacing w:after="0" w:line="113"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2025, net cash flows used in investing activities consisted of purchases of short-term investments of $89.0 million and purchases of property and equipment of $0.8 million, partially offset by proceeds from maturities of short-term investments of $44.7 million.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Cash Flows from Financing Activities</w:t>
      </w:r>
    </w:p>
    <w:p>
      <w:pPr>
        <w:spacing w:after="0" w:line="18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For the three months ended March 31, 2026, net cash flows provided by financing activities primarily consisted of proceeds of $0.2 million from the exercise of stock options.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three months ended March 31, 2025, net cash flows provided by financing activities were insignificant.</w:t>
      </w:r>
    </w:p>
    <w:p>
      <w:pPr>
        <w:spacing w:after="0" w:line="3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Contractual Obligations and Commitments</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Lease Obligations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New York Headquarters Lease</w:t>
      </w:r>
    </w:p>
    <w:p>
      <w:pPr>
        <w:spacing w:after="0" w:line="18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We sub-lease approximately 6,000 square feet of office space for our corporate headquarters in New York, New York. In November 2025, we extended the lease by an additional 19 months at a lower cost per square foot which now expires in January 2028.</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Houston Lease</w:t>
      </w:r>
    </w:p>
    <w:p>
      <w:pPr>
        <w:spacing w:after="0" w:line="182"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We lease 42,342 square feet for a manufacturing facility in Houston, Texas. The lease expires in August 2029. We have the option to renew the lease term for two additional five-year terms. The renewal periods were not included in the lease term for purposes of determining the lease liability or right-of-use asset.</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Blaine Lease in Seattle</w:t>
      </w:r>
    </w:p>
    <w:p>
      <w:pPr>
        <w:spacing w:after="0" w:line="19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We lease approximately 33,300 square feet of office space in Seattle, Washington that was previously used by Neoleukin for offices, a laboratory for research and development, and related uses. The lease expires on February 1, 2029, with the option to extend the lease for two additional five-year terms. The renewal periods were not included in the lease term for purposes of determining the lease liability.</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Eastlake Lease in Seattle</w:t>
      </w:r>
    </w:p>
    <w:p>
      <w:pPr>
        <w:spacing w:after="0" w:line="18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lease approximately 6,272 square feet of office space in Seattle, Washington, that was previously used by Neoleukin for additional office and laboratory space for research and development and related uses (the “Eastlake Lease”). The lease expires on September 30, 2026. We also assumed the existing agreement to sublease the Eastlake Lease to an unrelated third party (“Eastlake Sublease”). Pursuant to the terms of the Eastlake Sublease, we are entitled to receive a total of approximately $1.6 million in lease payments. The term of the sublease is through September 30, 2026.</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4" w:name="page35"/>
    <w:bookmarkEnd w:id="3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Lease CVR</w:t>
      </w:r>
    </w:p>
    <w:p>
      <w:pPr>
        <w:spacing w:after="0" w:line="197"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 xml:space="preserve">Each contingent value right (“CVR”) distributed pursuant to the CVR Licensing Agreement, dated December 18, 2023, by and between us and the rights agent (the “CVR Agreement”) contains the contractual right to receive certain net savings, if any, realized by June 30, 2029 in connection with certain legacy lease obligations related to our business prior to the reverse merger with Neoleukin (the “Lease CVR”). As of March 31, 2026, approximately $0.4 million was recorded as a component of the contingent value rights liability arising from the Lease CVR on our condensed consolidated balance sheet. The commitment relates to Neoleukin’s sublease agreement, effective October 31, 2023, for one of its properties with an unrelated third party for the remainder of the lease term. For more information on the Lease CVR, see Note 9, </w:t>
      </w:r>
      <w:r>
        <w:rPr>
          <w:rFonts w:ascii="Times New Roman" w:cs="Times New Roman" w:eastAsia="Times New Roman" w:hAnsi="Times New Roman"/>
          <w:sz w:val="17"/>
          <w:szCs w:val="17"/>
          <w:i w:val="1"/>
          <w:iCs w:val="1"/>
          <w:color w:val="auto"/>
        </w:rPr>
        <w:t>Commitments and Contingencies—Lease CVR</w:t>
      </w:r>
      <w:r>
        <w:rPr>
          <w:rFonts w:ascii="Times New Roman" w:cs="Times New Roman" w:eastAsia="Times New Roman" w:hAnsi="Times New Roman"/>
          <w:sz w:val="17"/>
          <w:szCs w:val="17"/>
          <w:color w:val="auto"/>
        </w:rPr>
        <w:t>, in the notes to the financial statements included in Part I, Item 1 of this Quarterly Report on Form 10-Q.</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Intellectual Property CVR</w:t>
      </w:r>
    </w:p>
    <w:p>
      <w:pPr>
        <w:spacing w:after="0" w:line="184"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 xml:space="preserve">The December 2023 CVR Licensing Agreement and April 2024 CVR Licensing Agreement collectively account for the total Intellectual Property CVR. As of March 31, 2026, no other development and sales milestones were achieved nor deemed probable of achievement under the December 2023 CVR Licensing Agreement. For more information on the Intellectual Property CVR, see Note 9, </w:t>
      </w:r>
      <w:r>
        <w:rPr>
          <w:rFonts w:ascii="Times New Roman" w:cs="Times New Roman" w:eastAsia="Times New Roman" w:hAnsi="Times New Roman"/>
          <w:sz w:val="17"/>
          <w:szCs w:val="17"/>
          <w:i w:val="1"/>
          <w:iCs w:val="1"/>
          <w:color w:val="auto"/>
        </w:rPr>
        <w:t>Commitments and Contingencies—Intellectual Property CVR</w:t>
      </w:r>
      <w:r>
        <w:rPr>
          <w:rFonts w:ascii="Times New Roman" w:cs="Times New Roman" w:eastAsia="Times New Roman" w:hAnsi="Times New Roman"/>
          <w:sz w:val="17"/>
          <w:szCs w:val="17"/>
          <w:color w:val="auto"/>
        </w:rPr>
        <w:t>, in the notes to the financial statements included in Part I, Item 1 of this Quarterly Report on Form 10-Q.</w:t>
      </w:r>
    </w:p>
    <w:p>
      <w:pPr>
        <w:spacing w:after="0" w:line="1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components of the contingent value rights liability as of March 31, 2026 and December 31, 2025 (in thousands):</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4540" w:type="dxa"/>
            <w:vAlign w:val="bottom"/>
          </w:tcPr>
          <w:p>
            <w:pPr>
              <w:spacing w:after="0"/>
              <w:rPr>
                <w:sz w:val="19"/>
                <w:szCs w:val="19"/>
                <w:color w:val="auto"/>
              </w:rPr>
            </w:pPr>
          </w:p>
        </w:tc>
        <w:tc>
          <w:tcPr>
            <w:tcW w:w="3220" w:type="dxa"/>
            <w:vAlign w:val="bottom"/>
            <w:gridSpan w:val="6"/>
          </w:tcPr>
          <w:p>
            <w:pPr>
              <w:ind w:left="960"/>
              <w:spacing w:after="0"/>
              <w:rPr>
                <w:sz w:val="20"/>
                <w:szCs w:val="20"/>
                <w:color w:val="auto"/>
              </w:rPr>
            </w:pPr>
            <w:r>
              <w:rPr>
                <w:rFonts w:ascii="Times New Roman" w:cs="Times New Roman" w:eastAsia="Times New Roman" w:hAnsi="Times New Roman"/>
                <w:sz w:val="17"/>
                <w:szCs w:val="17"/>
                <w:b w:val="1"/>
                <w:bCs w:val="1"/>
                <w:color w:val="auto"/>
              </w:rPr>
              <w:t>March 31, 2026</w:t>
            </w:r>
          </w:p>
        </w:tc>
        <w:tc>
          <w:tcPr>
            <w:tcW w:w="260" w:type="dxa"/>
            <w:vAlign w:val="bottom"/>
          </w:tcPr>
          <w:p>
            <w:pPr>
              <w:spacing w:after="0"/>
              <w:rPr>
                <w:sz w:val="19"/>
                <w:szCs w:val="19"/>
                <w:color w:val="auto"/>
              </w:rPr>
            </w:pPr>
          </w:p>
        </w:tc>
        <w:tc>
          <w:tcPr>
            <w:tcW w:w="2800" w:type="dxa"/>
            <w:vAlign w:val="bottom"/>
            <w:gridSpan w:val="4"/>
          </w:tcPr>
          <w:p>
            <w:pPr>
              <w:jc w:val="right"/>
              <w:ind w:right="754"/>
              <w:spacing w:after="0"/>
              <w:rPr>
                <w:sz w:val="20"/>
                <w:szCs w:val="20"/>
                <w:color w:val="auto"/>
              </w:rPr>
            </w:pPr>
            <w:r>
              <w:rPr>
                <w:rFonts w:ascii="Times New Roman" w:cs="Times New Roman" w:eastAsia="Times New Roman" w:hAnsi="Times New Roman"/>
                <w:sz w:val="17"/>
                <w:szCs w:val="17"/>
                <w:b w:val="1"/>
                <w:bCs w:val="1"/>
                <w:color w:val="auto"/>
              </w:rPr>
              <w:t>December 31, 2025</w:t>
            </w:r>
          </w:p>
        </w:tc>
      </w:tr>
      <w:tr>
        <w:trPr>
          <w:trHeight w:val="25"/>
        </w:trPr>
        <w:tc>
          <w:tcPr>
            <w:tcW w:w="45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5"/>
        </w:trPr>
        <w:tc>
          <w:tcPr>
            <w:tcW w:w="4540" w:type="dxa"/>
            <w:vAlign w:val="bottom"/>
          </w:tcPr>
          <w:p>
            <w:pPr>
              <w:spacing w:after="0"/>
              <w:rPr>
                <w:sz w:val="19"/>
                <w:szCs w:val="19"/>
                <w:color w:val="auto"/>
              </w:rPr>
            </w:pPr>
          </w:p>
        </w:tc>
        <w:tc>
          <w:tcPr>
            <w:tcW w:w="1120" w:type="dxa"/>
            <w:vAlign w:val="bottom"/>
          </w:tcPr>
          <w:p>
            <w:pPr>
              <w:jc w:val="right"/>
              <w:ind w:right="14"/>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Non-Current</w:t>
            </w:r>
          </w:p>
        </w:tc>
        <w:tc>
          <w:tcPr>
            <w:tcW w:w="260" w:type="dxa"/>
            <w:vAlign w:val="bottom"/>
          </w:tcPr>
          <w:p>
            <w:pPr>
              <w:spacing w:after="0"/>
              <w:rPr>
                <w:sz w:val="19"/>
                <w:szCs w:val="19"/>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80" w:type="dxa"/>
            <w:vAlign w:val="bottom"/>
          </w:tcPr>
          <w:p>
            <w:pPr>
              <w:spacing w:after="0"/>
              <w:rPr>
                <w:sz w:val="19"/>
                <w:szCs w:val="19"/>
                <w:color w:val="auto"/>
              </w:rPr>
            </w:pPr>
          </w:p>
        </w:tc>
        <w:tc>
          <w:tcPr>
            <w:tcW w:w="1300" w:type="dxa"/>
            <w:vAlign w:val="bottom"/>
          </w:tcPr>
          <w:p>
            <w:pPr>
              <w:jc w:val="right"/>
              <w:ind w:right="174"/>
              <w:spacing w:after="0"/>
              <w:rPr>
                <w:sz w:val="20"/>
                <w:szCs w:val="20"/>
                <w:color w:val="auto"/>
              </w:rPr>
            </w:pPr>
            <w:r>
              <w:rPr>
                <w:rFonts w:ascii="Times New Roman" w:cs="Times New Roman" w:eastAsia="Times New Roman" w:hAnsi="Times New Roman"/>
                <w:sz w:val="17"/>
                <w:szCs w:val="17"/>
                <w:b w:val="1"/>
                <w:bCs w:val="1"/>
                <w:color w:val="auto"/>
              </w:rPr>
              <w:t>Non-Current</w:t>
            </w:r>
          </w:p>
        </w:tc>
      </w:tr>
      <w:tr>
        <w:trPr>
          <w:trHeight w:val="25"/>
        </w:trPr>
        <w:tc>
          <w:tcPr>
            <w:tcW w:w="4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 CVR</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32"/>
        </w:trPr>
        <w:tc>
          <w:tcPr>
            <w:tcW w:w="4540" w:type="dxa"/>
            <w:vAlign w:val="bottom"/>
          </w:tcPr>
          <w:p>
            <w:pPr>
              <w:spacing w:after="0"/>
              <w:rPr>
                <w:sz w:val="20"/>
                <w:szCs w:val="20"/>
                <w:color w:val="auto"/>
              </w:rPr>
            </w:pPr>
            <w:r>
              <w:rPr>
                <w:rFonts w:ascii="Times New Roman" w:cs="Times New Roman" w:eastAsia="Times New Roman" w:hAnsi="Times New Roman"/>
                <w:sz w:val="17"/>
                <w:szCs w:val="17"/>
                <w:color w:val="auto"/>
              </w:rPr>
              <w:t>Intellectual Property CVR</w:t>
            </w:r>
          </w:p>
        </w:tc>
        <w:tc>
          <w:tcPr>
            <w:tcW w:w="1120" w:type="dxa"/>
            <w:vAlign w:val="bottom"/>
          </w:tcPr>
          <w:p>
            <w:pPr>
              <w:spacing w:after="0"/>
              <w:rPr>
                <w:sz w:val="20"/>
                <w:szCs w:val="20"/>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5"/>
        </w:trPr>
        <w:tc>
          <w:tcPr>
            <w:tcW w:w="45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6"/>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CVR liability</w:t>
            </w:r>
          </w:p>
        </w:tc>
        <w:tc>
          <w:tcPr>
            <w:tcW w:w="1120" w:type="dxa"/>
            <w:vAlign w:val="bottom"/>
            <w:tcBorders>
              <w:bottom w:val="single" w:sz="8" w:color="CCEEFF"/>
            </w:tcBorders>
            <w:shd w:val="clear" w:color="auto" w:fill="CCEEFF"/>
          </w:tcPr>
          <w:p>
            <w:pPr>
              <w:jc w:val="right"/>
              <w:ind w:right="934"/>
              <w:spacing w:after="0"/>
              <w:rPr>
                <w:sz w:val="20"/>
                <w:szCs w:val="20"/>
                <w:color w:val="auto"/>
              </w:rPr>
            </w:pPr>
            <w:r>
              <w:rPr>
                <w:rFonts w:ascii="Times New Roman" w:cs="Times New Roman" w:eastAsia="Times New Roman" w:hAnsi="Times New Roman"/>
                <w:sz w:val="17"/>
                <w:szCs w:val="17"/>
                <w:color w:val="auto"/>
                <w:w w:val="93"/>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1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and Manufacturing Agreements</w:t>
      </w:r>
    </w:p>
    <w:p>
      <w:pPr>
        <w:spacing w:after="0" w:line="197"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We enter into agreements with certain vendors for the provision of goods and services, which includes manufacturing services with contract development and manufacturing organizations and development and clinical trial services with CROs.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These obligations and commitments are not presented separately.</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License and Collaboration Agreements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Master Collaboration Agreement with The University of Edinburgh</w:t>
      </w:r>
    </w:p>
    <w:p>
      <w:pPr>
        <w:spacing w:after="0" w:line="195"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In December 2020, we entered into a Master Collaboration Agreement (the “MCA”) with the University of Edinburgh (the “University of Edinburgh”). Under the MCA, we and the University of Edinburgh agreed to collaborate on certain research and development projects (“Projects”), and we agreed to provide funding for such Projects for a 40-month initial term, which was extended in November 2023 for an additional 33 months and may be further extended by mutual agreement. Under the MCA, we are obligated to pay semi-annual installment payments relating to funding of costs for personnel and lab consumables for the duration of the MCA. Either party may terminate the MCA for convenience upon 90 days’ notice. If we were to terminate the MCA, we would be responsible for all non-cancellable costs and commitments related to any particular Project and any and all funding costs for any person working on such Project.</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License Agreement with The University of Edinburgh</w:t>
      </w:r>
    </w:p>
    <w:p>
      <w:pPr>
        <w:spacing w:after="0" w:line="195" w:lineRule="exact"/>
        <w:rPr>
          <w:sz w:val="20"/>
          <w:szCs w:val="20"/>
          <w:color w:val="auto"/>
        </w:rPr>
      </w:pPr>
    </w:p>
    <w:p>
      <w:pPr>
        <w:jc w:val="both"/>
        <w:ind w:firstLine="309"/>
        <w:spacing w:after="0" w:line="256" w:lineRule="auto"/>
        <w:rPr>
          <w:sz w:val="20"/>
          <w:szCs w:val="20"/>
          <w:color w:val="auto"/>
        </w:rPr>
      </w:pPr>
      <w:r>
        <w:rPr>
          <w:rFonts w:ascii="Times New Roman" w:cs="Times New Roman" w:eastAsia="Times New Roman" w:hAnsi="Times New Roman"/>
          <w:sz w:val="17"/>
          <w:szCs w:val="17"/>
          <w:color w:val="auto"/>
        </w:rPr>
        <w:t>In March 2022, we exercised our option under the MCA with respect to certain Projects and entered into a License Agreement with the University of Edinburgh (the “March 2022 Edinburgh License Agreement”), pursuant to which we licensed certain patents and know-how related to the EXACT technology and optimized MECP2 cassettes on an exclusive basis. Under the March 2022 Edinburgh License Agreement, we obtained an exclusive, worldwide license to the licensed patents to develop, manufacture, supply, sell, and commercialize any products that utilize the licensed patents (the “Licensed Products”) in exchange for low single-digit percentage royalties on future commercial net sales of the Licensed Products. Royalties are payable on a Licensed Product-by-Licensed Product and country-by-country basis until the later of the expiration of the last licensed patent covering such Licensed Product in the country where the Licensed Product is sold, or, if no licensed patent exists or has expired in such country, then 10 years from first commercial sale of such Licensed Product in such country (the “Royalty Term”). The term of the March 2022 Edinburgh License Agreement continues until the end of the Royalty Term and the expiration of all of the payment obligations under that license. We may terminate the March 2022 Edinburgh License Agreement for convenience upon 90 days’ notice. In connection with the license, we are also obligated to pay the University of Edinburgh up to $5.3 million in regulatory-related milestones, of which $0.3 million has been paid in connection with the Phase 1/2 study. The remaining regulatory milestone payments consist of $2.0 million payable upon achievement of the first regulatory approval (FDA or EMA) and $3.0 million payable upon achievement of the second regulatory approval (FDA or EMA). In addition, we may be obligated to make up to $25.0 million of sales-related milestone payments based on annual net sales of Licensed Products in excess of defined thresholds.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License Agreement with Virovek</w:t>
      </w:r>
    </w:p>
    <w:p>
      <w:pPr>
        <w:spacing w:after="0" w:line="182" w:lineRule="exact"/>
        <w:rPr>
          <w:sz w:val="20"/>
          <w:szCs w:val="20"/>
          <w:color w:val="auto"/>
        </w:rPr>
      </w:pPr>
    </w:p>
    <w:p>
      <w:pPr>
        <w:jc w:val="both"/>
        <w:ind w:firstLine="309"/>
        <w:spacing w:after="0" w:line="260" w:lineRule="auto"/>
        <w:rPr>
          <w:sz w:val="20"/>
          <w:szCs w:val="20"/>
          <w:color w:val="auto"/>
        </w:rPr>
      </w:pPr>
      <w:r>
        <w:rPr>
          <w:rFonts w:ascii="Times New Roman" w:cs="Times New Roman" w:eastAsia="Times New Roman" w:hAnsi="Times New Roman"/>
          <w:sz w:val="17"/>
          <w:szCs w:val="17"/>
          <w:color w:val="auto"/>
        </w:rPr>
        <w:t>In September 2020, we entered into a Non-Exclusive License Agreement with Virovek, Inc., pursuant to which we have a license to use certain patents and know-how on a non-exclusive basis related to our baculovirus process in exchange for low single-digit percentage royalties on future commercial net sales of each product using the baculovirus process, development milestone payments of up to $0.2 million in the aggregate, and a nonrefundable annual license fee. This agreement continues until the later of (i) the expiration of the last to expire patent right that covers the manufacture, use, offer for sale, sale, importation, export or supply of any licensed product, (ii) ten years after the first commercial sale of any licensed product, or (iii) the expiration of all regulatory or market exclusivities. We may terminate this agreement for convenience upon 60 days’ notice.</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License Agreement with Sigma-Aldrich Co</w:t>
      </w:r>
    </w:p>
    <w:p>
      <w:pPr>
        <w:spacing w:after="0" w:line="182"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In January 2023, we entered into a Non-Exclusive License Agreement with Sigma-Aldrich Co. LLC, pursuant to which we have a license to certain patents and know-how on a non-exclusive basis related to certain cell lines used in our baculovirus process in exchange for a small annual fee on a product-by-product basis, payable once the first product candidate enters the clinic. In addition, on a product-by-product basis, we are obligated to pay up to $2.5 million in the aggregate for development-related milestones. This agreement remains in force for as long as we continue to possess and use the licensed technology. We may terminate this agreement for convenience upon 60 days’ notice.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License Agreement with Stanford</w:t>
      </w:r>
    </w:p>
    <w:p>
      <w:pPr>
        <w:spacing w:after="0" w:line="195"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August 2024, we entered into a Non-exclusive License Agreement with the Board of Trustees of Leland Stanford Junior University (the “Stanford License Agreement”) to license, on a non-exclusive basis, certain biological materials used in the manufacturing process of our product candidates, including NGN-401. Over the 10-year term of the Stanford License Agreement, we are obligated to pay an annual license maintenance fee. We may terminate this agreement for convenience upon 30 days’ notice.</w:t>
      </w:r>
    </w:p>
    <w:p>
      <w:pPr>
        <w:spacing w:after="0" w:line="2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82"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7"/>
          <w:szCs w:val="17"/>
          <w:color w:val="auto"/>
        </w:rPr>
        <w:t>We currently do not have, and did not have during the periods presented, any off-balance sheet arrangements, as defined in the rules and regulations of the SEC.</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6" w:name="page37"/>
    <w:bookmarkEnd w:id="3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Judgments and Estimates</w:t>
      </w:r>
    </w:p>
    <w:p>
      <w:pPr>
        <w:spacing w:after="0" w:line="182"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color w:val="auto"/>
        </w:rPr>
        <w:t>Our financial statements are prepared in accordance with U.S. GAAP. The preparation of the financial statements and related disclosures requires management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management believes are reasonable under the circumstances, the results of which form the basis for making judgments about the carrying values of assets and liabilities that are not readily apparent from other sources. Management evaluates estimates and assumptions on a periodic basis. Our actual results may differ from these estimates. A summary of our significant accounting policies is presented in Part II, Item 8 of our Annual Report on Form 10-K for the year ended December 31, 2025. There have been no material changes to our significant accounting policies during the three months ended March 31, 2026.</w:t>
      </w:r>
    </w:p>
    <w:p>
      <w:pPr>
        <w:spacing w:after="0" w:line="1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80"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color w:val="auto"/>
        </w:rPr>
        <w:t xml:space="preserve">See Note 3, </w:t>
      </w:r>
      <w:r>
        <w:rPr>
          <w:rFonts w:ascii="Times New Roman" w:cs="Times New Roman" w:eastAsia="Times New Roman" w:hAnsi="Times New Roman"/>
          <w:sz w:val="17"/>
          <w:szCs w:val="17"/>
          <w:i w:val="1"/>
          <w:iCs w:val="1"/>
          <w:color w:val="auto"/>
        </w:rPr>
        <w:t>Summary of Significant Accounting Policies—Recently Issued Accounting Standards</w:t>
      </w:r>
      <w:r>
        <w:rPr>
          <w:rFonts w:ascii="Times New Roman" w:cs="Times New Roman" w:eastAsia="Times New Roman" w:hAnsi="Times New Roman"/>
          <w:sz w:val="17"/>
          <w:szCs w:val="17"/>
          <w:color w:val="auto"/>
        </w:rPr>
        <w:t xml:space="preserve"> in the notes to the condensed consolidated financial statements included in Part I, Item 1 of this Quarterly Report on Form 10-Q.</w:t>
      </w: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95" w:lineRule="exact"/>
        <w:rPr>
          <w:sz w:val="20"/>
          <w:szCs w:val="20"/>
          <w:color w:val="auto"/>
        </w:rPr>
      </w:pPr>
    </w:p>
    <w:p>
      <w:pPr>
        <w:jc w:val="both"/>
        <w:ind w:firstLine="309"/>
        <w:spacing w:after="0" w:line="287" w:lineRule="auto"/>
        <w:rPr>
          <w:sz w:val="20"/>
          <w:szCs w:val="20"/>
          <w:color w:val="auto"/>
        </w:rPr>
      </w:pPr>
      <w:r>
        <w:rPr>
          <w:rFonts w:ascii="Times New Roman" w:cs="Times New Roman" w:eastAsia="Times New Roman" w:hAnsi="Times New Roman"/>
          <w:sz w:val="17"/>
          <w:szCs w:val="17"/>
          <w:color w:val="auto"/>
        </w:rPr>
        <w:t>As a “smaller reporting company,” as defined by Rule 12b-2 of the Exchange Act, and pursuant to Item 305 of Regulation S-K, we are not required to provide quantitative and qualitative disclosures about market risk.</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w:t>
      </w:r>
    </w:p>
    <w:p>
      <w:pPr>
        <w:spacing w:after="0" w:line="195" w:lineRule="exact"/>
        <w:rPr>
          <w:sz w:val="20"/>
          <w:szCs w:val="20"/>
          <w:color w:val="auto"/>
        </w:rPr>
      </w:pPr>
    </w:p>
    <w:p>
      <w:pPr>
        <w:jc w:val="both"/>
        <w:ind w:firstLine="309"/>
        <w:spacing w:after="0" w:line="270" w:lineRule="auto"/>
        <w:rPr>
          <w:sz w:val="20"/>
          <w:szCs w:val="20"/>
          <w:color w:val="auto"/>
        </w:rPr>
      </w:pPr>
      <w:r>
        <w:rPr>
          <w:rFonts w:ascii="Times New Roman" w:cs="Times New Roman" w:eastAsia="Times New Roman" w:hAnsi="Times New Roman"/>
          <w:sz w:val="17"/>
          <w:szCs w:val="17"/>
          <w:color w:val="auto"/>
        </w:rPr>
        <w:t>Under the supervision and with the participation of our principal executive and our principal financial officer, our management conducted an evaluation of the effectiveness of the design and operation of our disclosure controls and procedures, as defined in Rules 13a-15(e) and 15d-15(e) under the Exchange Act, as of the end of the period covered by this report.</w:t>
      </w:r>
    </w:p>
    <w:p>
      <w:pPr>
        <w:spacing w:after="0" w:line="127"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33" w:lineRule="exact"/>
        <w:rPr>
          <w:sz w:val="20"/>
          <w:szCs w:val="20"/>
          <w:color w:val="auto"/>
        </w:rPr>
      </w:pPr>
    </w:p>
    <w:p>
      <w:pPr>
        <w:jc w:val="both"/>
        <w:ind w:firstLine="309"/>
        <w:spacing w:after="0" w:line="261" w:lineRule="auto"/>
        <w:rPr>
          <w:sz w:val="20"/>
          <w:szCs w:val="20"/>
          <w:color w:val="auto"/>
        </w:rPr>
      </w:pPr>
      <w:r>
        <w:rPr>
          <w:rFonts w:ascii="Times New Roman" w:cs="Times New Roman" w:eastAsia="Times New Roman" w:hAnsi="Times New Roman"/>
          <w:sz w:val="17"/>
          <w:szCs w:val="17"/>
          <w:color w:val="auto"/>
        </w:rPr>
        <w:t>Based on management’s evaluation, our principal executive and our principal financial officer concluded that our disclosure controls and procedures are designed to, and are effective to, provide assurance at a reasonable level that the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and financial officer, as appropriate, to allow timely decisions regarding required disclosures.</w:t>
      </w:r>
    </w:p>
    <w:p>
      <w:pPr>
        <w:spacing w:after="0" w:line="145" w:lineRule="exact"/>
        <w:rPr>
          <w:sz w:val="20"/>
          <w:szCs w:val="20"/>
          <w:color w:val="auto"/>
        </w:rPr>
      </w:pPr>
    </w:p>
    <w:p>
      <w:pPr>
        <w:jc w:val="both"/>
        <w:ind w:firstLine="309"/>
        <w:spacing w:after="0" w:line="292" w:lineRule="auto"/>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r>
        <w:rPr>
          <w:rFonts w:ascii="Times New Roman" w:cs="Times New Roman" w:eastAsia="Times New Roman" w:hAnsi="Times New Roman"/>
          <w:sz w:val="17"/>
          <w:szCs w:val="17"/>
          <w:color w:val="auto"/>
        </w:rPr>
        <w:t>. There have not been any changes in our internal control over financial reporting during the quarter ended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7" w:name="page38"/>
    <w:bookmarkEnd w:id="3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Part II - Other Information</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82" w:lineRule="exact"/>
        <w:rPr>
          <w:sz w:val="20"/>
          <w:szCs w:val="20"/>
          <w:color w:val="auto"/>
        </w:rPr>
      </w:pPr>
    </w:p>
    <w:p>
      <w:pPr>
        <w:jc w:val="both"/>
        <w:ind w:firstLine="309"/>
        <w:spacing w:after="0" w:line="264" w:lineRule="auto"/>
        <w:rPr>
          <w:sz w:val="20"/>
          <w:szCs w:val="20"/>
          <w:color w:val="auto"/>
        </w:rPr>
      </w:pPr>
      <w:r>
        <w:rPr>
          <w:rFonts w:ascii="Times New Roman" w:cs="Times New Roman" w:eastAsia="Times New Roman" w:hAnsi="Times New Roman"/>
          <w:sz w:val="17"/>
          <w:szCs w:val="17"/>
          <w:color w:val="auto"/>
        </w:rPr>
        <w:t>We may from time to time be named as a party to legal claims, actions and complaints, including matters involving employment, intellectual property or others. We are not presently a party to any legal proceedings that, in the opinion of our management, would reasonably be expected to have a material adverse effect on our business, financial condition, operating results or cash flows if determined adversely to us. Regardless of the outcome, litigation can have an adverse impact on us because of defense and settlement costs, diversion of management resources, and other factors.</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1" w:lineRule="exact"/>
        <w:rPr>
          <w:sz w:val="20"/>
          <w:szCs w:val="20"/>
          <w:color w:val="auto"/>
        </w:rPr>
      </w:pPr>
    </w:p>
    <w:p>
      <w:pPr>
        <w:jc w:val="both"/>
        <w:ind w:firstLine="309"/>
        <w:spacing w:after="0" w:line="258" w:lineRule="auto"/>
        <w:rPr>
          <w:sz w:val="20"/>
          <w:szCs w:val="20"/>
          <w:color w:val="auto"/>
        </w:rPr>
      </w:pPr>
      <w:r>
        <w:rPr>
          <w:rFonts w:ascii="Times New Roman" w:cs="Times New Roman" w:eastAsia="Times New Roman" w:hAnsi="Times New Roman"/>
          <w:sz w:val="17"/>
          <w:szCs w:val="17"/>
          <w:i w:val="1"/>
          <w:iCs w:val="1"/>
          <w:color w:val="auto"/>
        </w:rPr>
        <w:t>Investing in shares of our common stock involves a high degree of risk. You should carefully consider the following risks and uncertainties, together with all of the other information contained in this Quarterly Report on Form 10-Q and our Annual Report on Form 10-K before making an investment decision. The occurrence of any of the following risks could materially and adversely affect our business, financial condition, reputation, or results of operations. In such case, the trading price of shares of our common stock could decline, and you may lose all or part of your investment. It is not possible to predict or identify all such risks; our operations could also be affected by factors, events or uncertainties that are not presently known to us or that we currently do not consider to present significant risks to our operations. Therefore, you should not consider the following risks to be a complete statement of all the potential risks or uncertainties that we face. Moreover, some of the factors, events and contingencies discussed below may have occurred in the past, but the disclosures below are not representations as to whether or not the factors, events or contingencies have occurred in the past, and instead reflect our beliefs and opinions as to the factors, events or contingencies that could materially and adversely affect us in the future.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Summary of Risk Factors</w:t>
      </w:r>
    </w:p>
    <w:p>
      <w:pPr>
        <w:spacing w:after="0" w:line="184" w:lineRule="exact"/>
        <w:rPr>
          <w:sz w:val="20"/>
          <w:szCs w:val="20"/>
          <w:color w:val="auto"/>
        </w:rPr>
      </w:pPr>
    </w:p>
    <w:p>
      <w:pPr>
        <w:ind w:left="620" w:hanging="307"/>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limited operating history, have not completed any clinical trials, and have no products approved for commercial sale, and our results may vary from quarter to quarter.</w:t>
      </w:r>
    </w:p>
    <w:p>
      <w:pPr>
        <w:spacing w:after="0" w:line="1"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jc w:val="both"/>
        <w:ind w:left="620" w:hanging="307"/>
        <w:spacing w:after="0" w:line="269" w:lineRule="auto"/>
        <w:tabs>
          <w:tab w:leader="none" w:pos="6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We have incurred significant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12" w:lineRule="exact"/>
        <w:rPr>
          <w:rFonts w:ascii="Arial" w:cs="Arial" w:eastAsia="Arial" w:hAnsi="Arial"/>
          <w:sz w:val="17"/>
          <w:szCs w:val="17"/>
          <w:color w:val="auto"/>
        </w:rPr>
      </w:pPr>
    </w:p>
    <w:p>
      <w:pPr>
        <w:ind w:left="620" w:hanging="307"/>
        <w:spacing w:after="0" w:line="284" w:lineRule="auto"/>
        <w:tabs>
          <w:tab w:leader="none" w:pos="6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We are substantially dependent on the success of our most advanced product candidate, NGN-401, and our ongoing clinical trial of NGN-401 may not be successful.</w:t>
      </w:r>
    </w:p>
    <w:p>
      <w:pPr>
        <w:jc w:val="both"/>
        <w:ind w:left="620" w:hanging="307"/>
        <w:spacing w:after="0" w:line="270"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NGN-401 is in clinical development and our other programs are in early stages of development and may fail in development or suffer delays that materially and adversely affect their commercial viability. If we are unable to complete development of, or commercialize, our product candidates, or experience significant delays in doing so, our business will be materially harmed.</w:t>
      </w:r>
    </w:p>
    <w:p>
      <w:pPr>
        <w:spacing w:after="0" w:line="10"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developing our manufacturing capabilities or failure to achieve operating efficiencies from such capabilities may require us to devote additional resources and management time to manufacturing operations and may delay our product development timelines.</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1"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a number of academic collaborations, and currently rely on our collaboration with the University Court of the University of Edinburgh for certain aspects of our preclinical research and development programs, including working in collaboration to discover and preclinically develop potential product candidates for our near-term future pipeline. Failure or delay of the University of Edinburgh or any other collaborator to fulfil all or part of its obligations under our agreements, a breakdown in collaboration between the parties or a complete or partial loss of the relationship would materially harm our business.</w:t>
      </w:r>
    </w:p>
    <w:p>
      <w:pPr>
        <w:spacing w:after="0" w:line="19" w:lineRule="exact"/>
        <w:rPr>
          <w:rFonts w:ascii="Times New Roman" w:cs="Times New Roman" w:eastAsia="Times New Roman" w:hAnsi="Times New Roman"/>
          <w:sz w:val="17"/>
          <w:szCs w:val="17"/>
          <w:color w:val="auto"/>
        </w:rPr>
      </w:pPr>
    </w:p>
    <w:p>
      <w:pPr>
        <w:ind w:left="620" w:hanging="307"/>
        <w:spacing w:after="0" w:line="284" w:lineRule="auto"/>
        <w:tabs>
          <w:tab w:leader="none" w:pos="61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order to successfully implement our plans and strategies, we will need to grow the size of our organization and we may experience difficulties in managing this growth.</w:t>
      </w:r>
    </w:p>
    <w:p>
      <w:pPr>
        <w:spacing w:after="0" w:line="1" w:lineRule="exact"/>
        <w:rPr>
          <w:rFonts w:ascii="Times New Roman" w:cs="Times New Roman" w:eastAsia="Times New Roman" w:hAnsi="Times New Roman"/>
          <w:sz w:val="17"/>
          <w:szCs w:val="17"/>
          <w:color w:val="auto"/>
        </w:rPr>
      </w:pPr>
    </w:p>
    <w:p>
      <w:pPr>
        <w:jc w:val="both"/>
        <w:ind w:left="620" w:hanging="307"/>
        <w:spacing w:after="0" w:line="264" w:lineRule="auto"/>
        <w:tabs>
          <w:tab w:leader="none" w:pos="616" w:val="left"/>
        </w:tabs>
        <w:numPr>
          <w:ilvl w:val="0"/>
          <w:numId w:val="18"/>
        </w:numPr>
        <w:rPr>
          <w:rFonts w:ascii="Arial" w:cs="Arial" w:eastAsia="Arial" w:hAnsi="Arial"/>
          <w:sz w:val="17"/>
          <w:szCs w:val="17"/>
          <w:color w:val="auto"/>
        </w:rPr>
      </w:pPr>
      <w:r>
        <w:rPr>
          <w:rFonts w:ascii="Times New Roman" w:cs="Times New Roman" w:eastAsia="Times New Roman" w:hAnsi="Times New Roman"/>
          <w:sz w:val="17"/>
          <w:szCs w:val="17"/>
          <w:color w:val="auto"/>
        </w:rPr>
        <w:t>The regulatory approval processes of the U.S. Food and Drug Administration (“FDA”)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p>
    <w:p>
      <w:pPr>
        <w:spacing w:after="0" w:line="200" w:lineRule="exact"/>
        <w:rPr>
          <w:sz w:val="20"/>
          <w:szCs w:val="20"/>
          <w:color w:val="auto"/>
        </w:rPr>
      </w:pPr>
    </w:p>
    <w:p>
      <w:pPr>
        <w:spacing w:after="0" w:line="3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38" w:name="page39"/>
    <w:bookmarkEnd w:id="3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20" w:hanging="307"/>
        <w:spacing w:after="0" w:line="284"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Because gene therapy is novel and the regulatory landscape that governs any product candidates we may develop is rigorous, complex, uncertain and subject to change, we cannot predict the time and cost of obtaining regulatory approval, if received at all, for any product candidates we may develop.</w:t>
      </w:r>
    </w:p>
    <w:p>
      <w:pPr>
        <w:spacing w:after="0" w:line="1"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common stock may continue to be volatile.</w:t>
      </w:r>
    </w:p>
    <w:p>
      <w:pPr>
        <w:spacing w:after="0" w:line="62" w:lineRule="exact"/>
        <w:rPr>
          <w:rFonts w:ascii="Times New Roman" w:cs="Times New Roman" w:eastAsia="Times New Roman" w:hAnsi="Times New Roman"/>
          <w:sz w:val="17"/>
          <w:szCs w:val="17"/>
          <w:color w:val="auto"/>
        </w:rPr>
      </w:pPr>
    </w:p>
    <w:p>
      <w:pPr>
        <w:jc w:val="both"/>
        <w:ind w:left="620" w:hanging="307"/>
        <w:spacing w:after="0" w:line="270"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allocate resources to fulfilling the requirements of the CVR Agreement, dated December 18, 2023, by and between us and the Rights Agent (the “CVR Agreement”) entered into in connection with the Reverse Merger (as defined below) related to certain legacy lease obligations which may take away from our core programs and create a distraction for our management and employees.</w:t>
      </w:r>
    </w:p>
    <w:p>
      <w:pPr>
        <w:spacing w:after="0" w:line="10" w:lineRule="exact"/>
        <w:rPr>
          <w:rFonts w:ascii="Times New Roman" w:cs="Times New Roman" w:eastAsia="Times New Roman" w:hAnsi="Times New Roman"/>
          <w:sz w:val="17"/>
          <w:szCs w:val="17"/>
          <w:color w:val="auto"/>
        </w:rPr>
      </w:pPr>
    </w:p>
    <w:p>
      <w:pPr>
        <w:ind w:left="620" w:hanging="307"/>
        <w:spacing w:after="0"/>
        <w:tabs>
          <w:tab w:leader="none" w:pos="62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sales of a substantial number of shares of our stock could cause our stock price to decline.</w:t>
      </w:r>
    </w:p>
    <w:p>
      <w:pPr>
        <w:spacing w:after="0" w:line="62" w:lineRule="exact"/>
        <w:rPr>
          <w:rFonts w:ascii="Times New Roman" w:cs="Times New Roman" w:eastAsia="Times New Roman" w:hAnsi="Times New Roman"/>
          <w:sz w:val="17"/>
          <w:szCs w:val="17"/>
          <w:color w:val="auto"/>
        </w:rPr>
      </w:pPr>
    </w:p>
    <w:p>
      <w:pPr>
        <w:ind w:left="620" w:hanging="307"/>
        <w:spacing w:after="0" w:line="287" w:lineRule="auto"/>
        <w:tabs>
          <w:tab w:leader="none" w:pos="61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executive officers, directors and principal stockholders have the ability to control or significantly influence all matters submitted to our stockholders for approval.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Limited Operating History, Financial Position and Capital Requirements</w:t>
      </w:r>
    </w:p>
    <w:p>
      <w:pPr>
        <w:spacing w:after="0" w:line="21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a limited operating history, have not completed any clinical trials, and have no products approved for commercial sale, and our results may vary from quarter to quarter.</w:t>
      </w:r>
    </w:p>
    <w:p>
      <w:pPr>
        <w:spacing w:after="0" w:line="120" w:lineRule="exact"/>
        <w:rPr>
          <w:sz w:val="20"/>
          <w:szCs w:val="20"/>
          <w:color w:val="auto"/>
        </w:rPr>
      </w:pPr>
    </w:p>
    <w:p>
      <w:pPr>
        <w:jc w:val="both"/>
        <w:ind w:firstLine="421"/>
        <w:spacing w:after="0" w:line="249" w:lineRule="auto"/>
        <w:rPr>
          <w:sz w:val="20"/>
          <w:szCs w:val="20"/>
          <w:color w:val="auto"/>
        </w:rPr>
      </w:pPr>
      <w:r>
        <w:rPr>
          <w:rFonts w:ascii="Times New Roman" w:cs="Times New Roman" w:eastAsia="Times New Roman" w:hAnsi="Times New Roman"/>
          <w:sz w:val="17"/>
          <w:szCs w:val="17"/>
          <w:color w:val="auto"/>
        </w:rPr>
        <w:t>We are a clinical-stage biotechnology company with limited operating history. Since our inception in 2018, we have incurred significant operating losses and have used substantially all of our resources to conduct research and development activities, preclinical studies, Phase 1/2 clinical trials of our most advanced product candidates as well as a Phase 3 pivotal trial for NGN-401, establish in-house manufacturing capabilities, including analytical and process development operations to support ongoing manufacturing operations, manufacture product candidates, conduct business planning, develop and maintain our intellectual property portfolio, hire personnel, raise capital, and provide general and administrative support for these activities. We have limited experience as a company in initiating, conducting or completing clinical trials. In part because of this lack of experience, we cannot be certain that our current and planned clinical trials will begin on time, meet our anticipated timelines for enrollment and data analysis, or be completed on time, if at all. In addition, while we have completed enrollment in the Phase 1/2 clinical trial of NGN-401 in patients with Rett syndrome, initiated dosing in our Embolden</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registrational trial for NGN-401 and completed enrollment in a Phase 1/2 clinical trial of NGN-101 in patients with CLN5 Batten disease, we have not yet demonstrated our ability to successfully complete clinical trials (including Phase 3 or other pivotal clinical trials), obtain regulatory or marketing approvals, manufacture a commercial-scale product or arrange for a third party to do so on our behalf, or conduct sales, marketing and distribution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made about our future success or viability may not be as accurate as they could be if we had a longer operating history.</w:t>
      </w:r>
    </w:p>
    <w:p>
      <w:pPr>
        <w:spacing w:after="0" w:line="359" w:lineRule="exact"/>
        <w:rPr>
          <w:sz w:val="20"/>
          <w:szCs w:val="20"/>
          <w:color w:val="auto"/>
        </w:rPr>
      </w:pPr>
    </w:p>
    <w:p>
      <w:pPr>
        <w:jc w:val="both"/>
        <w:ind w:firstLine="421"/>
        <w:spacing w:after="0" w:line="270" w:lineRule="auto"/>
        <w:rPr>
          <w:sz w:val="20"/>
          <w:szCs w:val="20"/>
          <w:color w:val="auto"/>
        </w:rPr>
      </w:pPr>
      <w:r>
        <w:rPr>
          <w:rFonts w:ascii="Times New Roman" w:cs="Times New Roman" w:eastAsia="Times New Roman" w:hAnsi="Times New Roman"/>
          <w:sz w:val="17"/>
          <w:szCs w:val="17"/>
          <w:color w:val="auto"/>
        </w:rPr>
        <w:t>In addition, as our business grows, we may encounter unforeseen expenses, restrictions, difficulties, complications, delays and other known and unknown factors. We will need to transition at some point from a company with a limited focus on early research and development and small clinical trials to a company that can also support commercial activities, including the manufacture of commercial scale product. We may not be successful in such a transition.</w:t>
      </w:r>
    </w:p>
    <w:p>
      <w:pPr>
        <w:spacing w:after="0" w:line="159"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107" w:lineRule="exact"/>
        <w:rPr>
          <w:sz w:val="20"/>
          <w:szCs w:val="20"/>
          <w:color w:val="auto"/>
        </w:rPr>
      </w:pPr>
    </w:p>
    <w:p>
      <w:pPr>
        <w:jc w:val="both"/>
        <w:ind w:firstLine="421"/>
        <w:spacing w:after="0" w:line="258" w:lineRule="auto"/>
        <w:rPr>
          <w:sz w:val="20"/>
          <w:szCs w:val="20"/>
          <w:color w:val="auto"/>
        </w:rPr>
      </w:pPr>
      <w:r>
        <w:rPr>
          <w:rFonts w:ascii="Times New Roman" w:cs="Times New Roman" w:eastAsia="Times New Roman" w:hAnsi="Times New Roman"/>
          <w:sz w:val="17"/>
          <w:szCs w:val="17"/>
          <w:color w:val="auto"/>
        </w:rPr>
        <w:t>Developing biotechnology products is a long, time-consuming, expensive and uncertain process that takes years to complete. Since our inception, we have funded our operations primarily through private financings and have incurred significant recurring losses, including a cumulative net loss from inception through March 31, 2026 of $383.6 million. We expect our expenses to increase in connection with our ongoing activities, particularly with respect to our Embolden registrational clinical trial of NGN-401 in patients with Rett syndrome, with the expectation that we will also initiate additional clinical trials in the future, and continue to research, develop and conduct preclinical studies of our other potential product candidates. We also anticipate that we may have near term expenses related to NGN-101 as we continue to evaluate options for the program following the denial by the FDA of a Regenerative Medicine Advanced Therapy (“RMAT”) designation, which precludes our ability to use a streamlined registrational pathway necessary for further investment in the program.</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9" w:name="page40"/>
    <w:bookmarkEnd w:id="3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421"/>
        <w:spacing w:after="0" w:line="260" w:lineRule="auto"/>
        <w:rPr>
          <w:sz w:val="20"/>
          <w:szCs w:val="20"/>
          <w:color w:val="auto"/>
        </w:rPr>
      </w:pPr>
      <w:r>
        <w:rPr>
          <w:rFonts w:ascii="Times New Roman" w:cs="Times New Roman" w:eastAsia="Times New Roman" w:hAnsi="Times New Roman"/>
          <w:sz w:val="17"/>
          <w:szCs w:val="17"/>
          <w:color w:val="auto"/>
        </w:rPr>
        <w:t>In addition, if we obtain regulatory approval for any product candidate for commercial sale, including NGN-401, we anticipate incurring significant commercialization expenses related to product manufacturing, marketing, sales and distribution activities to launch any such product. Our expenses could increase beyond expectations if we are required by the FDA or other regulatory agencies to perform preclinical studies or clinical trials in addition to those that we currently anticipate. Because the design and outcome of our current, planned and anticipated clinical trials are highly uncertain, we cannot reasonably estimate the actual amount of funding that will be necessary to successfully complete the development and commercialization of any product candidate we develop. Our future capital requirements depend on many factors, including factors that are not within our control.</w:t>
      </w:r>
    </w:p>
    <w:p>
      <w:pPr>
        <w:spacing w:after="0" w:line="147" w:lineRule="exact"/>
        <w:rPr>
          <w:sz w:val="20"/>
          <w:szCs w:val="20"/>
          <w:color w:val="auto"/>
        </w:rPr>
      </w:pPr>
    </w:p>
    <w:p>
      <w:pPr>
        <w:jc w:val="both"/>
        <w:ind w:firstLine="421"/>
        <w:spacing w:after="0" w:line="261" w:lineRule="auto"/>
        <w:rPr>
          <w:sz w:val="20"/>
          <w:szCs w:val="20"/>
          <w:color w:val="auto"/>
        </w:rPr>
      </w:pPr>
      <w:r>
        <w:rPr>
          <w:rFonts w:ascii="Times New Roman" w:cs="Times New Roman" w:eastAsia="Times New Roman" w:hAnsi="Times New Roman"/>
          <w:sz w:val="17"/>
          <w:szCs w:val="17"/>
          <w:color w:val="auto"/>
        </w:rPr>
        <w:t>We have incurred and expect to continue to incur additional costs associated with operating as a public company, and we do not anticipate achieving any significant revenue in the near term given the development stage of our product candidates. Accordingly, we will require substantial additional funding to continue our operations. Based on our current operating plan, we believe that our existing cash, cash equivalents and short-term investments should be sufficient to fund our operations through the first quarter of 2028. This estimate is based on assumptions that may prove to be materially wrong, and we could deplete our available capital resources sooner than we currently expect. Our future capital requirements will depend on many factors, including:</w:t>
      </w:r>
    </w:p>
    <w:p>
      <w:pPr>
        <w:spacing w:after="0" w:line="20" w:lineRule="exact"/>
        <w:rPr>
          <w:sz w:val="20"/>
          <w:szCs w:val="20"/>
          <w:color w:val="auto"/>
        </w:rPr>
      </w:pPr>
    </w:p>
    <w:p>
      <w:pPr>
        <w:jc w:val="both"/>
        <w:ind w:left="940" w:hanging="473"/>
        <w:spacing w:after="0" w:line="270"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progress of preclinical and clinical development activities, including any impact to our NGN-401 clinical trial activities relating to our participation in the FDA’s Support for clinical Trials Advancing Rare disease Therapeutics (“START”) program and the RMAT and Breakthrough Therapy designations for NGN-401;</w:t>
      </w:r>
    </w:p>
    <w:p>
      <w:pPr>
        <w:spacing w:after="0" w:line="10"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scope of preclinical and clinical programs we pursue to develop our gene therapy candidate pipeline and EXACT (Expression Attenuation via Construct Tuning) platform;</w:t>
      </w:r>
    </w:p>
    <w:p>
      <w:pPr>
        <w:spacing w:after="0" w:line="1"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secure appropriate animal models for the conduct of investigational new drug (“IND”)-enabling studies in a timely and financially feasible manner, especially large animal models, such as non-human primates (“NHPs”) needed for toxicology studies;</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establish an acceptable safety profile with IND-enabling toxicology studies to enable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patient enrollment in, and the initiation and completion of, larger and later-stage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subjects that participate in clinical trials and per subject trial costs;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extent of trials required for regulatory approval;</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countries in which the trials are conducted;</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length of time required to enroll eligible subjects in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drop-out and discontinuation rate of subjects;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additional safety monitoring requested by regulatory agencies;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duration of subject participation in the trials and follow-up;</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encounter any serious adverse events in our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receipt of regulatory approvals from applicable regulatory authorities, including those required to initiate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terms of any marketing approvals and post-marketing approval commitments from applicable regulatory authorities;</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extent to which we establish collaborations, strategic partnerships, or other strategic arrangements with third parties, if any, and the performance of any such third party;</w:t>
      </w:r>
    </w:p>
    <w:p>
      <w:pPr>
        <w:spacing w:after="0" w:line="1" w:lineRule="exact"/>
        <w:rPr>
          <w:rFonts w:ascii="Times New Roman" w:cs="Times New Roman" w:eastAsia="Times New Roman" w:hAnsi="Times New Roman"/>
          <w:sz w:val="17"/>
          <w:szCs w:val="17"/>
          <w:color w:val="auto"/>
        </w:rPr>
      </w:pPr>
    </w:p>
    <w:p>
      <w:pPr>
        <w:jc w:val="both"/>
        <w:ind w:left="940" w:hanging="473"/>
        <w:spacing w:after="0" w:line="270" w:lineRule="auto"/>
        <w:tabs>
          <w:tab w:leader="none" w:pos="9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scale up of our clinical and regulatory capabilities, including establishing our current good manufacturing practices (“cGMP”) manufacturing capabilities to support expansion of our pipeline and future registration-enabling clinical trials, obtaining cGMP material for clinical trials or potential commercial sales, and performing Process Performance Qualification (“PPQ”) testing to demonstrate consistent quality in our manufacturing process;</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hiring and retaining research, clinical, regulatory, manufacturing (including quality control and quality assurance) and administrative personnel;</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arrangements with third-party contract development and manufacturing organizations (“CDMOs”) and contract research organizations (“CROs”);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outfitting and validation of our cGMP manufacturing facility;</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0" w:name="page41"/>
    <w:bookmarkEnd w:id="4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20" w:hanging="453"/>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any business interruptions to our operations or to those of the third parties with whom we work; and</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defending and enforcing patent claims and other intellectual property rights.</w:t>
      </w:r>
    </w:p>
    <w:p>
      <w:pPr>
        <w:spacing w:after="0" w:line="178" w:lineRule="exact"/>
        <w:rPr>
          <w:sz w:val="20"/>
          <w:szCs w:val="20"/>
          <w:color w:val="auto"/>
        </w:rPr>
      </w:pPr>
    </w:p>
    <w:p>
      <w:pPr>
        <w:jc w:val="both"/>
        <w:ind w:firstLine="421"/>
        <w:spacing w:after="0" w:line="255" w:lineRule="auto"/>
        <w:rPr>
          <w:sz w:val="20"/>
          <w:szCs w:val="20"/>
          <w:color w:val="auto"/>
        </w:rPr>
      </w:pPr>
      <w:r>
        <w:rPr>
          <w:rFonts w:ascii="Times New Roman" w:cs="Times New Roman" w:eastAsia="Times New Roman" w:hAnsi="Times New Roman"/>
          <w:sz w:val="17"/>
          <w:szCs w:val="17"/>
          <w:color w:val="auto"/>
        </w:rPr>
        <w:t>We do not have any committed external sources of funds. We have filed an S-3 Registration Statement for the sale of up to $300.0 million in any combination of our common stock, preferred stock, debt securities, warrants or units, and may conduct one or more sales of securities pursuant to such registration statement from time to time. We have also entered into an at the market (“ATM”) Sales Agreement (the “Sales Agreement”) with Leerink Partners LLC (“Leerink”), pursuant to which, as of March 31, 2026, we have sold $31.0 million in shares of common stock, resulting in proceeds of $30.1 million after deducting sales commissions and other offering expenses. We may in the future, from time to time, offer and sell through Leerink up to an additional $119.0 million of the common stock registered under the shelf registration statement, pursuant to one or more “at the market” offerings. However, sales of our common stock under the Sales Agreement with Leerink are subject to business, economic or competitive uncertainties and contingencies, and adequate additional financing may not be available to us on acceptable terms, or at all. We may be required to or choose to seek additional funds sooner than planned through public or private equity offerings, debt financings, collaborations and licensing arrangements or other sources. Such financings may dilute our stockholders or the failure to obtain such financing may restrict our operating activities. Any additional fundraising efforts may divert our management from their day-to-day activities, which may adversely affect our business. To the extent that we raise additional capital through the sale of equity or convertible debt securities, your ownership interest will be diluted, and the terms may include liquidation or other preferences and anti-dilution protections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product development programs, or grant licenses on terms that are not favorable to us. Additional capital may not be available in sufficient amounts or on reasonable terms, if at all. Our ability to raise additional capital may be adversely impacted by global macroeconomic conditions, including volatility in interest rates, escalating trade tensions and restrictions, tariffs, geopolitical instability, changes in government regulations and significant volatility in the credit and financial markets in the United States and worldwide, particularly in the biotechnology and biopharmaceutical industries, over which we may have no or little control. Our failure to raise capital as and when needed or on acceptable terms would have a negative impact on our financial condition and our ability to pursue our business strategy, and we may have to delay, reduce the scope of, suspend or eliminate clinical trials, product development programs or future commercialization efforts.</w:t>
      </w:r>
    </w:p>
    <w:p>
      <w:pPr>
        <w:spacing w:after="0" w:line="172" w:lineRule="exact"/>
        <w:rPr>
          <w:sz w:val="20"/>
          <w:szCs w:val="20"/>
          <w:color w:val="auto"/>
        </w:rPr>
      </w:pPr>
    </w:p>
    <w:p>
      <w:pPr>
        <w:jc w:val="both"/>
        <w:ind w:firstLine="309"/>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inception,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341" w:lineRule="exact"/>
        <w:rPr>
          <w:sz w:val="20"/>
          <w:szCs w:val="20"/>
          <w:color w:val="auto"/>
        </w:rPr>
      </w:pPr>
    </w:p>
    <w:p>
      <w:pPr>
        <w:jc w:val="both"/>
        <w:ind w:firstLine="421"/>
        <w:spacing w:after="0" w:line="258" w:lineRule="auto"/>
        <w:rPr>
          <w:sz w:val="20"/>
          <w:szCs w:val="20"/>
          <w:color w:val="auto"/>
        </w:rPr>
      </w:pPr>
      <w:r>
        <w:rPr>
          <w:rFonts w:ascii="Times New Roman" w:cs="Times New Roman" w:eastAsia="Times New Roman" w:hAnsi="Times New Roman"/>
          <w:sz w:val="17"/>
          <w:szCs w:val="17"/>
          <w:color w:val="auto"/>
        </w:rPr>
        <w:t>Investment in biotechnology product development is a highly speculative undertaking and entails substantial upfront expenditures and significant risks that any program will fail to demonstrate adequate efficacy or potency or an acceptable safety profile, gain regulatory approval and become commercially viable. We have no products approved for commercial sale, have not generated any revenue from product sales to date, and continue to incur significant research and development and other expenses related to our ongoing operations. We do not expect to generate product revenue unless or until we successfully complete clinical development and obtain regulatory approval of, and then successfully commercialize, at least one product candidate. We may never succeed in these activities and, even if we do, we may never generate product revenue or revenues that are significant or large enough to achieve profitability. If we are unable to generate sufficient revenue through the sale of any approved products, we may be unable to continue operations without additional funding.</w:t>
      </w:r>
    </w:p>
    <w:p>
      <w:pPr>
        <w:spacing w:after="0" w:line="140" w:lineRule="exact"/>
        <w:rPr>
          <w:sz w:val="20"/>
          <w:szCs w:val="20"/>
          <w:color w:val="auto"/>
        </w:rPr>
      </w:pPr>
    </w:p>
    <w:p>
      <w:pPr>
        <w:jc w:val="both"/>
        <w:ind w:firstLine="421"/>
        <w:spacing w:after="0" w:line="264" w:lineRule="auto"/>
        <w:rPr>
          <w:sz w:val="20"/>
          <w:szCs w:val="20"/>
          <w:color w:val="auto"/>
        </w:rPr>
      </w:pPr>
      <w:r>
        <w:rPr>
          <w:rFonts w:ascii="Times New Roman" w:cs="Times New Roman" w:eastAsia="Times New Roman" w:hAnsi="Times New Roman"/>
          <w:sz w:val="17"/>
          <w:szCs w:val="17"/>
          <w:color w:val="auto"/>
        </w:rPr>
        <w:t>We have incurred significant net losses in each period since we commenced operations in 2018. Our net loss was $30.9 million for the three months ended March 31, 2026 and our cumulative net loss from inception as of March 31, 2026 was $383.6 million. We expect to continue to incur significant losses for the foreseeable future. Our operating expenses and net losses may fluctuate significantly from quarter to quarter and year to year. We anticipate that our expenses will increase substantially if and as we:</w:t>
      </w:r>
    </w:p>
    <w:p>
      <w:pPr>
        <w:spacing w:after="0" w:line="17" w:lineRule="exact"/>
        <w:rPr>
          <w:sz w:val="20"/>
          <w:szCs w:val="20"/>
          <w:color w:val="auto"/>
        </w:rPr>
      </w:pPr>
    </w:p>
    <w:p>
      <w:pPr>
        <w:ind w:left="920" w:hanging="45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our existing and future programs through preclinical and clinical development, including expansion into additional indications;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additional programs and additional product candidates;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 to develop our gene therapy product candidate pipeline and our EXACT platform;</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 expand, enforce, defend and protect our intellectual property portfolio;</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regulatory and marketing approvals for product candidates;</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40" w:hanging="473"/>
        <w:spacing w:after="0" w:line="28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 to identify, establish and maintain additional collaborations and license agreements, including those which may enhance the biodistribution and delivery of our product candidates;</w:t>
      </w:r>
    </w:p>
    <w:p>
      <w:pPr>
        <w:spacing w:after="0" w:line="1"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ultimately establish a sales, marketing and distribution infrastructure to commercialize any biological products for which we may obtain marketing approval, either by ourselves or in collaboration with others;</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generate revenue from commercial sales of products for which we receive marketing approval;</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personnel, including research and development, clinical and commercial;</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 operational, financial and management information systems and personnel to support further expansion and operation as a public company;</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or in-license products, intellectual property and technologies which may enhance our current technology; and</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commercial-scale cGMP capabilities through our own or third-party manufacturing facilities.</w:t>
      </w:r>
    </w:p>
    <w:p>
      <w:pPr>
        <w:spacing w:after="0" w:line="178" w:lineRule="exact"/>
        <w:rPr>
          <w:sz w:val="20"/>
          <w:szCs w:val="20"/>
          <w:color w:val="auto"/>
        </w:rPr>
      </w:pPr>
    </w:p>
    <w:p>
      <w:pPr>
        <w:jc w:val="both"/>
        <w:ind w:firstLine="421"/>
        <w:spacing w:after="0" w:line="270" w:lineRule="auto"/>
        <w:rPr>
          <w:sz w:val="20"/>
          <w:szCs w:val="20"/>
          <w:color w:val="auto"/>
        </w:rPr>
      </w:pPr>
      <w:r>
        <w:rPr>
          <w:rFonts w:ascii="Times New Roman" w:cs="Times New Roman" w:eastAsia="Times New Roman" w:hAnsi="Times New Roman"/>
          <w:sz w:val="17"/>
          <w:szCs w:val="17"/>
          <w:color w:val="auto"/>
        </w:rPr>
        <w:t>In addition, our expenses will increase if, among other things, we are required by the FDA or other regulatory authorities to perform trials or studies in addition to, or different than, those that we currently anticipate, there are any delays in completing our clinical trials or the development of any product candidates, or there are any third-party challenges to our intellectual property or we need to defend against any intellectual property-related claim.</w:t>
      </w:r>
    </w:p>
    <w:p>
      <w:pPr>
        <w:spacing w:after="0" w:line="140" w:lineRule="exact"/>
        <w:rPr>
          <w:sz w:val="20"/>
          <w:szCs w:val="20"/>
          <w:color w:val="auto"/>
        </w:rPr>
      </w:pPr>
    </w:p>
    <w:p>
      <w:pPr>
        <w:jc w:val="both"/>
        <w:ind w:firstLine="421"/>
        <w:spacing w:after="0" w:line="264" w:lineRule="auto"/>
        <w:rPr>
          <w:sz w:val="20"/>
          <w:szCs w:val="20"/>
          <w:color w:val="auto"/>
        </w:rPr>
      </w:pPr>
      <w:r>
        <w:rPr>
          <w:rFonts w:ascii="Times New Roman" w:cs="Times New Roman" w:eastAsia="Times New Roman" w:hAnsi="Times New Roman"/>
          <w:sz w:val="17"/>
          <w:szCs w:val="17"/>
          <w:color w:val="auto"/>
        </w:rPr>
        <w:t>Even if we obtain marketing approval for, and are successful in commercializing, one or more product candidates, we expect to incur substantial additional research and development and other expenditures to develop and market additional programs and/or to expand the approved indications of any marketed product. 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33" w:lineRule="exact"/>
        <w:rPr>
          <w:sz w:val="20"/>
          <w:szCs w:val="20"/>
          <w:color w:val="auto"/>
        </w:rPr>
      </w:pPr>
    </w:p>
    <w:p>
      <w:pPr>
        <w:jc w:val="both"/>
        <w:ind w:firstLine="421"/>
        <w:spacing w:after="0" w:line="287" w:lineRule="auto"/>
        <w:rPr>
          <w:sz w:val="20"/>
          <w:szCs w:val="20"/>
          <w:color w:val="auto"/>
        </w:rPr>
      </w:pPr>
      <w:r>
        <w:rPr>
          <w:rFonts w:ascii="Times New Roman" w:cs="Times New Roman" w:eastAsia="Times New Roman" w:hAnsi="Times New Roman"/>
          <w:sz w:val="17"/>
          <w:szCs w:val="17"/>
          <w:color w:val="auto"/>
        </w:rPr>
        <w:t>Our failure to become profitable would decrease our value and could impair our ability to raise capital, maintain our research and development efforts, expand our business and/or continue our operations. A decline in our value could also cause you to lose all or part of your investment.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Discovery, Development and Commercialization</w:t>
      </w:r>
    </w:p>
    <w:p>
      <w:pPr>
        <w:spacing w:after="0" w:line="215"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substantially dependent on the success of our most advanced product candidate, NGN-401, and our clinical trial of NGN-401 may not be successful.</w:t>
      </w:r>
    </w:p>
    <w:p>
      <w:pPr>
        <w:spacing w:after="0" w:line="369" w:lineRule="exact"/>
        <w:rPr>
          <w:sz w:val="20"/>
          <w:szCs w:val="20"/>
          <w:color w:val="auto"/>
        </w:rPr>
      </w:pPr>
    </w:p>
    <w:p>
      <w:pPr>
        <w:jc w:val="both"/>
        <w:ind w:firstLine="421"/>
        <w:spacing w:after="0" w:line="264" w:lineRule="auto"/>
        <w:rPr>
          <w:sz w:val="20"/>
          <w:szCs w:val="20"/>
          <w:color w:val="auto"/>
        </w:rPr>
      </w:pPr>
      <w:r>
        <w:rPr>
          <w:rFonts w:ascii="Times New Roman" w:cs="Times New Roman" w:eastAsia="Times New Roman" w:hAnsi="Times New Roman"/>
          <w:sz w:val="17"/>
          <w:szCs w:val="17"/>
          <w:color w:val="auto"/>
        </w:rPr>
        <w:t>Our future success is substantially dependent on our ability to timely obtain marketing approval for, and then successfully commercialize, our most advanced product candidate, NGN-401. We are investing a majority of our efforts and financial resources into the research and development of this product candidate, as we are currently conducting a registrational clinical trial of NGN-401 in patients with Rett syndrome (our Embolden trial) and commenced dosing patients in that trial in the fourth quarter of 2025.</w:t>
      </w:r>
    </w:p>
    <w:p>
      <w:pPr>
        <w:spacing w:after="0" w:line="145" w:lineRule="exact"/>
        <w:rPr>
          <w:sz w:val="20"/>
          <w:szCs w:val="20"/>
          <w:color w:val="auto"/>
        </w:rPr>
      </w:pPr>
    </w:p>
    <w:p>
      <w:pPr>
        <w:jc w:val="both"/>
        <w:ind w:firstLine="421"/>
        <w:spacing w:after="0" w:line="264" w:lineRule="auto"/>
        <w:rPr>
          <w:sz w:val="20"/>
          <w:szCs w:val="20"/>
          <w:color w:val="auto"/>
        </w:rPr>
      </w:pPr>
      <w:r>
        <w:rPr>
          <w:rFonts w:ascii="Times New Roman" w:cs="Times New Roman" w:eastAsia="Times New Roman" w:hAnsi="Times New Roman"/>
          <w:sz w:val="17"/>
          <w:szCs w:val="17"/>
          <w:color w:val="auto"/>
        </w:rPr>
        <w:t>NGN-401 will require additional clinical development, evaluation of clinical, preclinical and manufacturing activities, marketing approval in multiple jurisdictions, substantial investment and significant marketing efforts before we generate revenues from product sales, if any. We are not permitted to market or promote this product candidate, or any other product candidates we may develop, before we receive marketing approval from the FDA and/or comparable foreign regulatory authorities, and we may never receive such marketing approvals.</w:t>
      </w:r>
    </w:p>
    <w:p>
      <w:pPr>
        <w:spacing w:after="0" w:line="133" w:lineRule="exact"/>
        <w:rPr>
          <w:sz w:val="20"/>
          <w:szCs w:val="20"/>
          <w:color w:val="auto"/>
        </w:rPr>
      </w:pPr>
    </w:p>
    <w:p>
      <w:pPr>
        <w:jc w:val="both"/>
        <w:ind w:firstLine="421"/>
        <w:spacing w:after="0" w:line="263" w:lineRule="auto"/>
        <w:rPr>
          <w:sz w:val="20"/>
          <w:szCs w:val="20"/>
          <w:color w:val="auto"/>
        </w:rPr>
      </w:pPr>
      <w:r>
        <w:rPr>
          <w:rFonts w:ascii="Times New Roman" w:cs="Times New Roman" w:eastAsia="Times New Roman" w:hAnsi="Times New Roman"/>
          <w:sz w:val="17"/>
          <w:szCs w:val="17"/>
          <w:color w:val="auto"/>
        </w:rPr>
        <w:t>The success of NGN-401 will depend on a variety of factors. 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we may work with. Accordingly, we cannot guarantee that we will ever be able to generate revenue through the sale of this product candidate, even if approved. If we are not successful in commercializing NGN-401, or are significantly delayed in doing so, our business will be materially harmed.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2" w:name="page43"/>
    <w:bookmarkEnd w:id="4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face competition from entities that have developed or may develop programs for the diseases we plan to address with NGN-401 and other product candidates in development.</w:t>
      </w:r>
    </w:p>
    <w:p>
      <w:pPr>
        <w:spacing w:after="0" w:line="120" w:lineRule="exact"/>
        <w:rPr>
          <w:sz w:val="20"/>
          <w:szCs w:val="20"/>
          <w:color w:val="auto"/>
        </w:rPr>
      </w:pPr>
    </w:p>
    <w:p>
      <w:pPr>
        <w:jc w:val="both"/>
        <w:ind w:firstLine="421"/>
        <w:spacing w:after="0" w:line="256" w:lineRule="auto"/>
        <w:rPr>
          <w:sz w:val="20"/>
          <w:szCs w:val="20"/>
          <w:color w:val="auto"/>
        </w:rPr>
      </w:pPr>
      <w:r>
        <w:rPr>
          <w:rFonts w:ascii="Times New Roman" w:cs="Times New Roman" w:eastAsia="Times New Roman" w:hAnsi="Times New Roman"/>
          <w:sz w:val="17"/>
          <w:szCs w:val="17"/>
          <w:color w:val="auto"/>
        </w:rPr>
        <w:t>The development and commercialization of biological products is highly competitive. If approved, NGN-401 or any other product candidates we may develop will face significant competition and our failure to effectively compete may prevent us from achieving significant market penetration. We compete with a variety of multinational biopharmaceutical companies, specialized biotechnology companies and emerging biotechnology companies, as well as academic institutions, governmental agencies, and public and private research institutions, among others. Many of the companies with which we are currently competing or will compete against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industry may result in even more resources being concentrated among a smaller number of our competitors. Smaller or early-stage companies may also prove to be significant competitors, particularly through collaborative arrangements with large and established companies. New and emerging technologies for treatment of genetic diseases may create additional competitive pressures in our industry. These competitors also compete with us in recruiting and retaining qualified scientific and management personnel, establishing clinical trial sites and patient registration for clinical trials, as well as in acquiring technologies complementary to, or necessary for, NGN-401 and any other product candidates we may develop.</w:t>
      </w:r>
    </w:p>
    <w:p>
      <w:pPr>
        <w:spacing w:after="0" w:line="139" w:lineRule="exact"/>
        <w:rPr>
          <w:sz w:val="20"/>
          <w:szCs w:val="20"/>
          <w:color w:val="auto"/>
        </w:rPr>
      </w:pPr>
    </w:p>
    <w:p>
      <w:pPr>
        <w:jc w:val="both"/>
        <w:ind w:firstLine="421"/>
        <w:spacing w:after="0" w:line="259" w:lineRule="auto"/>
        <w:rPr>
          <w:sz w:val="20"/>
          <w:szCs w:val="20"/>
          <w:color w:val="auto"/>
        </w:rPr>
      </w:pPr>
      <w:r>
        <w:rPr>
          <w:rFonts w:ascii="Times New Roman" w:cs="Times New Roman" w:eastAsia="Times New Roman" w:hAnsi="Times New Roman"/>
          <w:sz w:val="17"/>
          <w:szCs w:val="17"/>
          <w:color w:val="auto"/>
        </w:rPr>
        <w:t>As described in “</w:t>
      </w:r>
      <w:r>
        <w:rPr>
          <w:rFonts w:ascii="Times New Roman" w:cs="Times New Roman" w:eastAsia="Times New Roman" w:hAnsi="Times New Roman"/>
          <w:sz w:val="17"/>
          <w:szCs w:val="17"/>
          <w:i w:val="1"/>
          <w:iCs w:val="1"/>
          <w:color w:val="auto"/>
        </w:rPr>
        <w:t>Business—Competition</w:t>
      </w:r>
      <w:r>
        <w:rPr>
          <w:rFonts w:ascii="Times New Roman" w:cs="Times New Roman" w:eastAsia="Times New Roman" w:hAnsi="Times New Roman"/>
          <w:sz w:val="17"/>
          <w:szCs w:val="17"/>
          <w:color w:val="auto"/>
        </w:rPr>
        <w:t>” in our Annual Report on Form 10-K, our competitors have developed, are developing or may develop programs or clinical stage products competitive with NGN-401 or our other earlier stage product candidates. Competitive therapeutic treatments include those that have already been approved and accepted by the medical community for Rett syndrome and any new treatments for Rett syndrome. Our success will depend partially on our ability to develop and commercialize products that have a competitive safety, efficacy or potency, dosing and/or presentation profile. Our commercial opportunity and success will be reduced or eliminated if competing products are safer, more effective or potent, have a more attractive or less invasive dosing profile or presentation or are less expensive than any products we may develop, or if competitors develop competing products that enter the market more quickly than we are able to, if we are able to at all, and are able to gain market acceptance.</w:t>
      </w:r>
    </w:p>
    <w:p>
      <w:pPr>
        <w:spacing w:after="0" w:line="171"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NGN-401 is in clinical development and our preclinical programs are in early stages of development and may fail in development or suffer delays that materially and adversely affect their commercial viability. If we are unable to complete development of, or commercialize, our product candidates, or experience significant delays in doing so, our business will be materially harmed.</w:t>
      </w:r>
    </w:p>
    <w:p>
      <w:pPr>
        <w:spacing w:after="0" w:line="125" w:lineRule="exact"/>
        <w:rPr>
          <w:sz w:val="20"/>
          <w:szCs w:val="20"/>
          <w:color w:val="auto"/>
        </w:rPr>
      </w:pPr>
    </w:p>
    <w:p>
      <w:pPr>
        <w:jc w:val="both"/>
        <w:ind w:firstLine="421"/>
        <w:spacing w:after="0" w:line="264" w:lineRule="auto"/>
        <w:rPr>
          <w:sz w:val="20"/>
          <w:szCs w:val="20"/>
          <w:color w:val="auto"/>
        </w:rPr>
      </w:pPr>
      <w:r>
        <w:rPr>
          <w:rFonts w:ascii="Times New Roman" w:cs="Times New Roman" w:eastAsia="Times New Roman" w:hAnsi="Times New Roman"/>
          <w:sz w:val="17"/>
          <w:szCs w:val="17"/>
          <w:color w:val="auto"/>
        </w:rPr>
        <w:t>We have no products on the market and while we have completed enrollment in our Phase 1/2 clinical trial of NGN-401 and initiated dosing in our Embolden registrational trial, NGN-401 is still in the clinical development stage. In addition, we have disclosed that unless we are able to find an alternative pathway for advancement, we will need to discontinue our NGN-101 program following the denial of RMAT designation for NGN-101 by the FDA, which would preclude a streamlined path to regulatory approval.</w:t>
      </w:r>
    </w:p>
    <w:p>
      <w:pPr>
        <w:spacing w:after="0" w:line="145" w:lineRule="exact"/>
        <w:rPr>
          <w:sz w:val="20"/>
          <w:szCs w:val="20"/>
          <w:color w:val="auto"/>
        </w:rPr>
      </w:pPr>
    </w:p>
    <w:p>
      <w:pPr>
        <w:jc w:val="both"/>
        <w:ind w:firstLine="421"/>
        <w:spacing w:after="0" w:line="261" w:lineRule="auto"/>
        <w:rPr>
          <w:sz w:val="20"/>
          <w:szCs w:val="20"/>
          <w:color w:val="auto"/>
        </w:rPr>
      </w:pPr>
      <w:r>
        <w:rPr>
          <w:rFonts w:ascii="Times New Roman" w:cs="Times New Roman" w:eastAsia="Times New Roman" w:hAnsi="Times New Roman"/>
          <w:sz w:val="17"/>
          <w:szCs w:val="17"/>
          <w:color w:val="auto"/>
        </w:rPr>
        <w:t>Our other programs are in early stages of preclinical development, and we expect to expend the majority of our resources on our Rett program for the near future, which may delay the development plans for our pipeline. As a result, we expect it will be several years before we commercialize our product candidates and ultimately may not be successful in commercializing any of our product candidates. Our ability to achieve and sustain profitability depends on obtaining regulatory approvals for, and successfully commercializing, our lead product candidate NGN-401 or other product candidates, either alone or with third parties, and we cannot guarantee that we will ever obtain regulatory approval for any product candidates we may develop.</w:t>
      </w:r>
    </w:p>
    <w:p>
      <w:pPr>
        <w:spacing w:after="0" w:line="136" w:lineRule="exact"/>
        <w:rPr>
          <w:sz w:val="20"/>
          <w:szCs w:val="20"/>
          <w:color w:val="auto"/>
        </w:rPr>
      </w:pPr>
    </w:p>
    <w:p>
      <w:pPr>
        <w:jc w:val="both"/>
        <w:ind w:firstLine="421"/>
        <w:spacing w:after="0" w:line="261" w:lineRule="auto"/>
        <w:rPr>
          <w:sz w:val="20"/>
          <w:szCs w:val="20"/>
          <w:color w:val="auto"/>
        </w:rPr>
      </w:pPr>
      <w:r>
        <w:rPr>
          <w:rFonts w:ascii="Times New Roman" w:cs="Times New Roman" w:eastAsia="Times New Roman" w:hAnsi="Times New Roman"/>
          <w:sz w:val="17"/>
          <w:szCs w:val="17"/>
          <w:color w:val="auto"/>
        </w:rPr>
        <w:t>We have limited experience as a company in conducting and managing the clinical trials necessary to obtain regulatory approvals, including approval by the FDA or comparable foreign regulatory authorities. We have not yet demonstrated our ability to obtain regulatory approvals, manufacture a commercial scale product or arrange for a third party to do so on our behalf, or conduct sales and marketing activities necessary for successful product commercialization. Before obtaining regulatory approval for the commercial distribution of product candidates, we or an existing or future collaborator must conduct extensive preclinical tests and clinical trials to demonstrate the safety, purity and efficacy or potency in humans of such product candidates.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3" w:name="page44"/>
    <w:bookmarkEnd w:id="4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421"/>
        <w:spacing w:after="0" w:line="260" w:lineRule="auto"/>
        <w:rPr>
          <w:sz w:val="20"/>
          <w:szCs w:val="20"/>
          <w:color w:val="auto"/>
        </w:rPr>
      </w:pPr>
      <w:r>
        <w:rPr>
          <w:rFonts w:ascii="Times New Roman" w:cs="Times New Roman" w:eastAsia="Times New Roman" w:hAnsi="Times New Roman"/>
          <w:sz w:val="17"/>
          <w:szCs w:val="17"/>
          <w:color w:val="auto"/>
        </w:rPr>
        <w:t>Following denial by the FDA of our RMAT application for NGN-101 for CLN5 Batten disease in November 2024, we disclosed that we do not expect to move forward with that program at this time. Given the rarity of the disease, continued investment in the program was predicated on alignment on a streamlined registrational pathway with the FDA. Despite our belief that we met the standard of preliminary clinical evidence required to obtain an RMAT designation, the RMAT application was denied. Similar challenges may prevent our success with or increase the cost of other current, planned or future clinical trials. We or our collaborators may experience delays in initiating or completing clinical trials, and also may experience unforeseen events during, or as a result of, any current or future clinical trials that could delay or prevent our ability to receive marketing approval or commercialize NGN-401 or any other product candidates, including:</w:t>
      </w:r>
    </w:p>
    <w:p>
      <w:pPr>
        <w:spacing w:after="0" w:line="19" w:lineRule="exact"/>
        <w:rPr>
          <w:sz w:val="20"/>
          <w:szCs w:val="20"/>
          <w:color w:val="auto"/>
        </w:rPr>
      </w:pPr>
    </w:p>
    <w:p>
      <w:pPr>
        <w:ind w:left="940" w:hanging="473"/>
        <w:spacing w:after="0" w:line="284"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regulators or institutional review boards (“IRBs”), the FDA or ethics committees may not authorize us or our investigators to commence a clinical trial or conduct a clinical trial at a prospective trial site;</w:t>
      </w:r>
    </w:p>
    <w:p>
      <w:pPr>
        <w:spacing w:after="0" w:line="1"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experience delays in reaching, or may fail to reach, agreement on acceptable terms with prospective trial sites and prospective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7"/>
          <w:szCs w:val="17"/>
          <w:color w:val="auto"/>
        </w:rPr>
      </w:pPr>
    </w:p>
    <w:p>
      <w:pPr>
        <w:jc w:val="both"/>
        <w:ind w:left="940" w:hanging="473"/>
        <w:spacing w:after="0" w:line="26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observation of an actual or suspected unexpected serious adverse reaction, serious adverse events, or adverse events of special interest could result in a partial or complete clinical hold for an unpredictable length of time, delay or halt future enrollment, require increased staggering between patient dosing, require dose reductions that could adversely affect the anticipated efficacy or potency product profile, or require a program discontinuation;</w:t>
      </w:r>
    </w:p>
    <w:p>
      <w:pPr>
        <w:spacing w:after="0" w:line="224"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 sites may fail to meet enrollment targets, may deviate from trial protocol, or may experience patients dropping out of a trial;</w:t>
      </w:r>
    </w:p>
    <w:p>
      <w:pPr>
        <w:spacing w:after="0" w:line="62" w:lineRule="exact"/>
        <w:rPr>
          <w:rFonts w:ascii="Times New Roman" w:cs="Times New Roman" w:eastAsia="Times New Roman" w:hAnsi="Times New Roman"/>
          <w:sz w:val="17"/>
          <w:szCs w:val="17"/>
          <w:color w:val="auto"/>
        </w:rPr>
      </w:pPr>
    </w:p>
    <w:p>
      <w:pPr>
        <w:jc w:val="both"/>
        <w:ind w:left="940" w:hanging="473"/>
        <w:spacing w:after="0" w:line="270"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trials of any product candidates may fail to show safety, efficacy or potency, or may produce negative or inconclusive results, and we may decide, or regulators may require us, to conduct additional preclinical studies or clinical trials or we may decide to abandon product development programs;</w:t>
      </w:r>
    </w:p>
    <w:p>
      <w:pPr>
        <w:spacing w:after="0" w:line="10" w:lineRule="exact"/>
        <w:rPr>
          <w:rFonts w:ascii="Times New Roman" w:cs="Times New Roman" w:eastAsia="Times New Roman" w:hAnsi="Times New Roman"/>
          <w:sz w:val="17"/>
          <w:szCs w:val="17"/>
          <w:color w:val="auto"/>
        </w:rPr>
      </w:pPr>
    </w:p>
    <w:p>
      <w:pPr>
        <w:jc w:val="both"/>
        <w:ind w:left="940" w:hanging="473"/>
        <w:spacing w:after="0" w:line="270"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subjects required for clinical trials of any of our product candidates may be larger than we anticipate, especially if the effect size observed in future clinical data from a Phase 1/2 clinical trial is small or is difficult to ascertain relative to natural history as a comparator, or if regulatory authorities require completion of a sham-controlled clinical trial;</w:t>
      </w:r>
    </w:p>
    <w:p>
      <w:pPr>
        <w:spacing w:after="0" w:line="10"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enrollment in clinical trials may be slower than we anticipate or subjects may drop out of clinical trials or fail to return for post-treatment follow-up at a higher rate than we anticipate;</w:t>
      </w:r>
    </w:p>
    <w:p>
      <w:pPr>
        <w:spacing w:after="0" w:line="1"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7"/>
          <w:szCs w:val="17"/>
          <w:color w:val="auto"/>
        </w:rPr>
      </w:pPr>
    </w:p>
    <w:p>
      <w:pPr>
        <w:jc w:val="both"/>
        <w:ind w:left="940" w:hanging="473"/>
        <w:spacing w:after="0" w:line="261"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elect to, or regulators, independent data and safety monitoring boards (“DSMBs”), IRBs or ethics committees may require that we or our investigators suspend or terminate clinical research or trials, or delay further recruitment, enrollment or dosing of subjects in clinical trials or specific trial sites, for various reasons, including noncompliance with regulatory requirements, internal processes or protocols of the relevant review body, a finding that the participants in our trials are being exposed to unacceptable health risks, or any other development that may impact the benefit-risk assessment of our product candidates;</w:t>
      </w:r>
    </w:p>
    <w:p>
      <w:pPr>
        <w:spacing w:after="0" w:line="19"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clinical trials of any of our product candidates may be greater than we anticipate;</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quality of our product candidates or other materials necessary to conduct clinical trials of our product candidates may be inadequate to initiate or complete a given clinical trial;</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manufacture sufficient quantities at adequate scales of our product candidates for use in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reports from clinical testing of other therapies may raise safety, efficacy or potency concerns about our product candidates;</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fail to establish an appropriate safety profile for a product candidate based on clinical or preclinical data for such product candidate and data emerging from other therapies in the same class as our product candidates; and</w:t>
      </w:r>
    </w:p>
    <w:p>
      <w:pPr>
        <w:spacing w:after="0" w:line="1" w:lineRule="exact"/>
        <w:rPr>
          <w:rFonts w:ascii="Times New Roman" w:cs="Times New Roman" w:eastAsia="Times New Roman" w:hAnsi="Times New Roman"/>
          <w:sz w:val="17"/>
          <w:szCs w:val="17"/>
          <w:color w:val="auto"/>
        </w:rPr>
      </w:pPr>
    </w:p>
    <w:p>
      <w:pPr>
        <w:ind w:left="940" w:hanging="473"/>
        <w:spacing w:after="0" w:line="287" w:lineRule="auto"/>
        <w:tabs>
          <w:tab w:leader="none" w:pos="936"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FDA or other regulatory authorities may require us to submit additional data, such as long-term toxicology studies, or impose other requirements before permitting us to initiate a clinical trial.</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4" w:name="page45"/>
    <w:bookmarkEnd w:id="4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If safety concerns develop with respect to our product candidates or clinical trial designs, we may be delayed in our development plans as we may need to pause our enrollment in a clinical trial, revise our trial designs, investigate potential safety developments, or take other measures that may increase the amount of time and resources required to bring our product candidates forward. For example, in November 2024, following a severe adverse event (“SAE”) that resulted in a fatality in the 3E15 vg dose of our Phase 1/2 clinical trial of NGN-401 for the treatment of Rett syndrome, we elected to initially pause further use of the 3E15 vg dose and subsequently made the determination to remove that dose and also paused enrollment until such time as we could update our trial protocol to remove the 3E15vg dose and add additional safety monitoring protocols, which we subsequently did.</w:t>
      </w:r>
    </w:p>
    <w:p>
      <w:pPr>
        <w:spacing w:after="0" w:line="14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Commencing clinical trials in the United States is subject to acceptance by the FDA of an IND or, if commenced in other jurisdictions, acceptance by the comparable foreign regulatory agency of a similar application, as well as finalizing the trial design. In the event that the FDA or applicable foreign regulatory agency requires us to complete additional preclinical studies, or we are required to satisfy other regulatory requests prior to commencing clinical trials, the start of our clinical trials may be delayed. Even after we receive and incorporate guidance from these regulatory authorities, the FDA or other regulatory authorities could disagree that we have satisfied their requirements to commence any clinical trial or change their position on the acceptability of our trial design or the clinical endpoints selected, which may require us to complete additional preclinical studies or clinical trials, delay the enrollment of our clinical trials or impose stricter approval conditions than we currently expect. There are equivalent processes and risks applicable to clinical trial applications in other jurisdictions, including the United Kingdom (“UK”), Australia and the European Union (“EU”).</w:t>
      </w:r>
    </w:p>
    <w:p>
      <w:pPr>
        <w:spacing w:after="0" w:line="13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We may not have the financial resources to continue development of, or to modify existing collaborations or enter into new collaborations for, a product candidate if we experience any issues that delay or prevent regulatory approval of, or our ability to commercialize, NGN-401 or any other product candidates we are developing or may develop in the future. We or our current or future collaborators’ inability to complete development of, or commercialize, NGN-401 or any other product candidates or significant delays in doing so, could have a material and adverse effect on our business, financial condition, results of operations and prospects.</w:t>
      </w:r>
    </w:p>
    <w:p>
      <w:pPr>
        <w:spacing w:after="0" w:line="169"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currently utilize adeno-associated virus serotype 9 (“AAV9”) capsid for delivery of therapeutic transgenes to deliver our product candidates, which may limit the safety, purity, and efficacy or potency of such product candidates.</w:t>
      </w:r>
    </w:p>
    <w:p>
      <w:pPr>
        <w:spacing w:after="0" w:line="107"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Our current approach is to identify, develop and commercialize gene therapy product candidates using an AAV9 capsid for delivery of therapeutic transgenes to certain kinds of cells.</w:t>
      </w:r>
    </w:p>
    <w:p>
      <w:pPr>
        <w:spacing w:after="0" w:line="125"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Although AAV9 has been tested in numerous clinical trials and is an approved serotype for at least one gene therapy product, we cannot be certain that our AAV9 product candidates will successfully advance through preclinical studies and clinical trials, or that they will not cause significant adverse events or toxicities. For more information, please refer to the risk factor below titled “</w:t>
      </w:r>
      <w:r>
        <w:rPr>
          <w:rFonts w:ascii="Times New Roman" w:cs="Times New Roman" w:eastAsia="Times New Roman" w:hAnsi="Times New Roman"/>
          <w:sz w:val="17"/>
          <w:szCs w:val="17"/>
          <w:i w:val="1"/>
          <w:iCs w:val="1"/>
          <w:color w:val="auto"/>
        </w:rPr>
        <w:t>Participants in our clinical trials may experience undesirable side effects, which could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cause delays or prevent regulatory approval of our product candidates, limit the commercial potential or create significant negative consequences to our development plans, even if such side effects are ultimately determined not to be attributable or possibly attributable to our product candidates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In November 2024, a participant who had been recently dosed at the 3E15 vg dose of NGN-401 in our Phase 1/2 clinical trial of NGN-401 for the treatment of Rett syndrome experienced an SAE consistent with known risks of AAV gene therapy and ultimately died from this complication. While this reaction was very rare, we cannot ensure that other SAEs related to the use of AAV9 will not occur, or that we will not experience delays or other negative impacts to our clinical trial related to this or other AAV-related SAEs. We also cannot be certain that we will be able to avoid triggering toxicities in our future preclinical studies or clinical trials or that our chosen routes of administration to deliver such therapies will not cause unforeseen side effects or other challenges. Although AAV9 has been shown to facilitate biodistribution and cell transduction to the central nervous system (“CNS”), the potentially limited levels of AAV9 transduction of cells in the CNS may also limit the potential efficacy or potency of any of our product candidates, including NGN-401.</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5" w:name="page46"/>
    <w:bookmarkEnd w:id="4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Participants in our clinical trials may experience undesirable side effects, which could cause delays or prevent regulatory approval of our product candidates, limit the commercial potential or create significant negative consequences to our development plans, even if such side effects are ultimately determined not to be attributable or possibly attributable to our product candidates.</w:t>
      </w:r>
    </w:p>
    <w:p>
      <w:pPr>
        <w:spacing w:after="0" w:line="125"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Our primary product candidates, including NGN-401 for the treatment of Rett syndrome, are AAV-based gene therapies. AAV-based gene therapies in development or approved for use carry a risk of certain adverse side effects, known and unknown, including the potential for inflammatory events such as heightened innate or adaptive immune reactions in response to the presence of the AAV vector, including the development of a T-cell and/or B-cell immune response, complement system activation, thrombotic microangiopathy, thrombocytopenia, toxicity due to damage of the dorsal root ganglia, loss of nerve conductivity with or without the diminishment or loss of reflexes and sensory symptoms, increased liver enzymes and liver toxicity, organ damage to kidneys or the heart, vector integration that may result in cancerous cell development, or in rare cases, death. In addition, some participants in our AAV-based gene therapy clinical trials may have pre-existing conditions, such as diminished lean muscle mass, impaired function of biological systems or vital organs, or recent viral infections, or complications relating to their genetic makeup, and, as such, those participants may present a different risk profile and may have an increased potential for serious adverse events such as a heightened immune response, the re-activation of a viral infection due to immunosuppression measures that are taken in conjunction with administration of AAV-based gene therapy, or a diminished capacity to withstand treatment-related side effects that might be mild if they were to present in another participant. Because of the novel nature of gene therapy in general and specifically AAV-based gene therapy, not all side effects may have been discovered, and we may not be able to identify all of the increased risk factors for our participants, and additional unexpected serious adverse events may occur as a result. In addition, due to components of our product candidates used to carry the genetic materials, it is possible that some participants could develop delayed side effects from treatment. There can also be significant variability in how patients respond to gene therapy, especially in a mosaic disease presentation like Rett syndrome in females where some of the cells carry a correct copy of the DNA sequence for the impacted gene while other cells have a mutated variant. As a result, some patients may not respond as well to gene therapy as others.</w:t>
      </w:r>
    </w:p>
    <w:p>
      <w:pPr>
        <w:spacing w:after="0" w:line="158"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Serious adverse events related to our trial or to other clinical trials using AAV-based gene therapy, even if those other trials are not related to our product candidates or targeted disease states, and even if such adverse events are not ultimately attributable to the relevant product candidates or products, may result in unfavorable public sentiment about our clinical trial and our product candidates, increased government regulation, potential regulatory delays for approval of our product candidates, stricter labeling requirements, the imposition of additional monitoring of our products if they are approved, challenges in enrolling patients in our clinical trials and a decrease in demand for our product candidates.</w:t>
      </w:r>
    </w:p>
    <w:p>
      <w:pPr>
        <w:spacing w:after="0" w:line="136"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If our product candidates are believed to be or shown to be associated with side effects that significantly alter the benefit-risk determination of any of our product candidates, we may not be able to continue development of that product candidate. Some product candidates that have shown positive safety results in early clinical testing have later been found to cause side effects that required the abandonment of further development of that product candidate. We may also be required to delay or slow the development of a particular product candidate if there are side effects whose cause is unclear or uncertain in order to further understand the nature of such side effects, which could materially impact our plans for development and financial position.</w:t>
      </w:r>
    </w:p>
    <w:p>
      <w:pPr>
        <w:spacing w:after="0" w:line="130" w:lineRule="exact"/>
        <w:rPr>
          <w:sz w:val="20"/>
          <w:szCs w:val="20"/>
          <w:color w:val="auto"/>
        </w:rPr>
      </w:pPr>
    </w:p>
    <w:p>
      <w:pPr>
        <w:ind w:right="80"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intend to identify and develop novel gene therapy product candidates, which makes it difficult to predict the time, cost and potential success of product candidate development.</w:t>
      </w:r>
    </w:p>
    <w:p>
      <w:pPr>
        <w:spacing w:after="0" w:line="120"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We have invested in early stage research and development with the goal of identifying and developing additional product candidates as well as investments in research into new technologies to potentially augment our pipeline. Our future success may depend in part on the successful development of novel therapeutic approaches, including new therapies that may be able to use our EXACT technology or other transgene regulation technology. However, while our preclinical research and clinical trials may initially show promise in identifying potential product candidates, they may ultimately fail to yield product candidates for a number of reasons. For example, although EXACT is designed to deliver therapeutic levels of transgene while avoiding overexpression toxicity and off-target effects, there can be no assurance that any EXACT transgene regulation will result in product candidates that are shown in clinical trials to be safe, pure, and effective or potent.</w:t>
      </w:r>
    </w:p>
    <w:p>
      <w:pPr>
        <w:spacing w:after="0" w:line="135"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To date, very few products that utilize gene transfer have been approved in the United States, Europe or other markets, and no products have been approved using our EXACT technology or technology similar to it. There have been a limited number of clinical trials of gene transfer technologies, with only very few product candidates ever approved by the FDA or comparable foreign regulatory authorities.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6" w:name="page47"/>
    <w:bookmarkEnd w:id="4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As a result, it is difficult for us to predict the time and cost of product candidate development, and we cannot predict whether the application of our approach to gene therapy will result in the identification, development, and regulatory approval of any product candidates, or that other gene therapy programs will not be considered better or more attractive. There can be no assurance that any development problems we experience in the future related to our current gene therapy approaches or product candidates or any of our research programs will not cause significant delays or unanticipated costs, or that such development problems can be solved. Research programs to identify new product candidates require substantial technical, financial, and human resources. If we are unable to identify suitable gene therapy product candidates for preclinical and clinical development in a cost effective manner, we may not be able to successfully implement this portion of our business strategy, and may have to delay, reduce the scope of, suspend or eliminate one or more of our current or future product candidates, clinical trials or future commercialization efforts, which would negatively impact our financial condition.</w:t>
      </w:r>
    </w:p>
    <w:p>
      <w:pPr>
        <w:spacing w:after="0" w:line="169"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The disorders we seek to treat have low prevalence and it may be difficult to identify and enroll patients with these disorders. If we experience delays or difficulties in the enrollment and/or maintenance of patients in clinical trials, our receipt of necessary regulatory approvals could be delayed or prevented.</w:t>
      </w:r>
    </w:p>
    <w:p>
      <w:pPr>
        <w:spacing w:after="0" w:line="120"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Successful and timely completion of clinical trials will require that we enroll and maintain a sufficient number of patients. Patient enrollment is affected by many factors, including the size and nature of the patient population and competition for patients with other trials. Genetic diseases generally, and especially the rare diseases for which some of our current product candidates are targeted, have low incidence and prevalence. For example, we estimate global incidence of Rett syndrome to be approximately one in 10,000 live female births. Accordingly, it may be difficult for us to identify and timely recruit a sufficient number of eligible patients to conduct our clinical trials. Further, any natural history studies that we or our collaborators may conduct may fail to provide us with patients for our clinical trials because patients enrolled in the natural history studies may not be good candidates for our clinical trials, or may choose to not enroll in our clinical trials.</w:t>
      </w:r>
    </w:p>
    <w:p>
      <w:pPr>
        <w:spacing w:after="0" w:line="140"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the Medicines and Healthcare products Regulatory Agency (“MHRA”) in the United Kingdom, the Therapeutic Goods Association (“TGA”) in Australia, the European Medicines Agency (“EMA”) or other foreign regulatory authorities. We cannot predict how successful we will be at enrolling subjects in future clinical trials. Subject enrollment is affected by other factors including:</w:t>
      </w:r>
    </w:p>
    <w:p>
      <w:pPr>
        <w:spacing w:after="0" w:line="20" w:lineRule="exact"/>
        <w:rPr>
          <w:sz w:val="20"/>
          <w:szCs w:val="20"/>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eligibility criteria for the trial in question;</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timely diagnosis of disease to meet such eligibility criteria;</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size of the patient population and process for identifying patients;</w:t>
      </w:r>
    </w:p>
    <w:p>
      <w:pPr>
        <w:spacing w:after="0" w:line="62" w:lineRule="exact"/>
        <w:rPr>
          <w:rFonts w:ascii="Times New Roman" w:cs="Times New Roman" w:eastAsia="Times New Roman" w:hAnsi="Times New Roman"/>
          <w:sz w:val="17"/>
          <w:szCs w:val="17"/>
          <w:color w:val="auto"/>
        </w:rPr>
      </w:pPr>
    </w:p>
    <w:p>
      <w:pPr>
        <w:jc w:val="both"/>
        <w:ind w:left="940" w:hanging="473"/>
        <w:spacing w:after="0" w:line="270"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perceived risks and benefits of the product candidate in the trial, especially by clinician experts and patient advocacy organizations, including relating to AAV9-based gene therapy, which may evolve over time as more AAV-based gene therapy trials are conducted, and intracerebral spinal fluid delivery system;</w:t>
      </w:r>
    </w:p>
    <w:p>
      <w:pPr>
        <w:spacing w:after="0" w:line="10"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competing commercially available therapies and other competing therapeutic candidates’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caregivers to enroll their children in our clinical trials;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efforts to facilitate timely enrollment in clinical trials;</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disruptions caused by pandemics or other public health crises, including difficulties in initiating clinical sites, enrolling and retaining participants, diversion of healthcare resources away from clinical trials, travel or quarantine policies that may be implemented, and other factors;</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patient referral practices of physicians;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proximity and availability of clinical trial sites for prospective patients.</w:t>
      </w:r>
    </w:p>
    <w:p>
      <w:pPr>
        <w:spacing w:after="0" w:line="178"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Even if we are able to enroll a sufficient number of patients in our clinical trials, we may have difficulty maintaining enrollment of such patients. Our inability to enroll or maintain a sufficient number of patients would result in significant delays in completing clinical trials or receipt of marketing approvals and increased development costs, or may require us to abandon one or more clinical trials altogether.</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7" w:name="page48"/>
    <w:bookmarkEnd w:id="4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identifying and advancing a strategy to continue the development of NGN-101 for CLN5 Batten disease, and in the meantime, may incur additional costs as we continue the post-dosing phases of our clinical trial for NGN-101.</w:t>
      </w:r>
    </w:p>
    <w:p>
      <w:pPr>
        <w:spacing w:after="0" w:line="10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In November 2024, we announced that we do not expect to move forward with the NGN-101 CLN5 Batten disease gene therapy program at the present time because of an inability to align on a streamlined registrational pathway with the FDA for that product candidate, but that we would continue to evaluate options for that program. We may consider a range of potential alternatives for the program, which could include continuing to discuss possibilities for a streamlined pathway to registration with the FDA, looking for a partner or out-licensing the product candidate entirely, but there can be no assurance that we will find any alternative to move the program forward.</w:t>
      </w:r>
    </w:p>
    <w:p>
      <w:pPr>
        <w:spacing w:after="0" w:line="149"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In addition, while we have completed dosing in the Phase 1/2 clinical trial of NGN-101 for CLN5 Batten disease, we do intend to continue to follow the patients who received treatment in the clinical trial and therefore may continue to incur certain incremental costs related to the continued observations in that clinical trial, even if we are not able to find a future path to commercialization for this product candidate.</w:t>
      </w:r>
    </w:p>
    <w:p>
      <w:pPr>
        <w:spacing w:after="0" w:line="159" w:lineRule="exact"/>
        <w:rPr>
          <w:sz w:val="20"/>
          <w:szCs w:val="20"/>
          <w:color w:val="auto"/>
        </w:rPr>
      </w:pPr>
    </w:p>
    <w:p>
      <w:pPr>
        <w:ind w:right="100"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programs are focused on the development of therapeutics for patients with neurological diseases, which is a rapidly evolving area of science, and the approach we are taking to discover and develop product candidates is novel and may never lead to approved or marketable products.</w:t>
      </w:r>
    </w:p>
    <w:p>
      <w:pPr>
        <w:spacing w:after="0" w:line="107"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The discovery and development of therapeutics for patients with neurological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be disease-modifying therapies, clinical results may not confirm this hypothesis or may only confirm it for certain alterations or certain indications. The patient populations for our product candidates are limited to those with specific neurological diseases. We cannot be certain that the patient populations for each specific disease will be large enough to allow us to successfully obtain approval and commercialize our product candidates and achieve profitability. Further, our clinical trial of NGN-401 involves a small patient population. Because of the small sample sizes, the expansion of our clinical trial to an adolescent/adult cohort and the heterogeneity of the disease state, the results of this trial may not be indicative of results of future clinical trials. In particular, while we have expanded the clinical trial of NGN-401 to include adolescent and adult patients in both our Phase 1/2 trial and our Embolden registrational trial, our interim data releases to date have focused solely on pediatric participants in those trials, and we cannot be sure that the results that we have reported in our pediatric population of that trial will be representative of our adolescent or adult participants.</w:t>
      </w:r>
    </w:p>
    <w:p>
      <w:pPr>
        <w:spacing w:after="0" w:line="176"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do not achieve our projected development goals in the timeframes we announce and expect, the commercialization of NGN-401 or any other product candidates may be delayed and, as a result, our stock price may decline.</w:t>
      </w:r>
    </w:p>
    <w:p>
      <w:pPr>
        <w:spacing w:after="0" w:line="10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From time to time, we estimate the timing of the anticipated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are and will be based on numerous assumptions. The actual timing of these milestones can vary dramatically compared to our estimates, in some cases for reasons beyond our control. If we do not meet these milestones as publicly announced, or at all, the commercialization of NGN-401 or any other product candidates may be delayed or never achieved and, as a result, our stock price may decline.</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8" w:name="page49"/>
    <w:bookmarkEnd w:id="4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Preclinical and clinical development involves a lengthy and expensive process that is subject to delays and uncertain outcomes, and results of earlier studies and trials may not be predictive of future clinical trial results.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129"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Before obtaining marketing approval from regulatory authorities for the sale of any product candidate, we must complete preclinical studies, which are a lengthy, time consuming and expensive process with a high risk of failure. The length of time of such testing may vary substantially according to the type, complexity and novelty of the program, and often can be several years or more per program. Delays associated with programs for which we are conducting preclinical testing and studies may cause us to incur additional operating expenses. For example, we depend on the availability of NHPs to conduct certain preclinical studies that we are required to complete prior to submitting an IND and initiating clinical development. A sustained global shortage of NHPs available for biological product development could cause the cost of obtaining NHPs for our future preclinical studies to increase significantly and result in delays to our development timelines. However, after conducting preclinical studies, we must then conduct extensive clinical trials to demonstrate the safety, purity, and efficacy or potency of our product candidate in humans. Our clinical trials may not be conducted as planned or completed on schedule, if at all.</w:t>
      </w:r>
    </w:p>
    <w:p>
      <w:pPr>
        <w:spacing w:after="0" w:line="149"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Furthermore, failure can occur at any time during the preclinical study or clinical trial process, and the outcome of preclinical studies and early-stage clinical trials may not be predictive of the success of later clinical trials, especially as our initial clinical trials do not contain a control arm. In addition, we have designed our initial clinical trials with relatively small cohorts before expanding in size and dosing in subsequent cohorts. If safety issues arise in an early cohort, we may be delayed or prevented from dose escalating or subsequently expanding into larger trial cohorts. For example, in November 2024, following an SAE at the 3E15 vg dose in our Phase 1/2 clinical trial of NGN-401 for the treatment of Rett syndrome that resulted in a fatality, we elected to revise our trial protocol before resuming dosing and remove the 3E15 vg dose from the trial protocol with no plans to enroll any further participants at that dose.</w:t>
      </w:r>
    </w:p>
    <w:p>
      <w:pPr>
        <w:spacing w:after="0" w:line="135"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Earlier gene therapy clinical trials conducted by others also utilized AAV vectors. However, these studies should not be relied upon as evidence that our planned clinical trials will succeed. In addition, we expect to rely on patients, caregivers and clinicians to provide feedback on measures, which are subjective and inherently difficult to evaluate. These measures can be influenced by factors outside of our control, and can vary widely from day to day for a particular patient, and from patient to patient or caregiver to caregiver and from site to site within a clinical trial.</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9" w:name="page50"/>
    <w:bookmarkEnd w:id="4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 xml:space="preserve">We cannot be sure that the FDA or comparable foreign regulatory authorities will agree with our clinical development plan. We have completed enrollment in our Phase 1/2 clinical trial of NGN-401 in patients with Rett syndrome and have commenced dosing in our Embolden registrational trial for NGN-401. However, if the FDA or any comparable regulatory authorities require us to conduct additional trials or enroll additional patients, our development timelines may be delayed, or we may not be able to pursue further development due to such delays. For example, in November 2024, we announced that we do not expect to move forward with the NGN-101 for CLN5 Batten disease gene therapy program at this time. Given the rarity of the disease, continued investment in the program was predicated on alignment on a streamlined registrational pathway with the FDA. To support a streamlined pathway, we submitted an RMAT application to the FDA. Despite our belief that we met the standard of preliminary clinical evidence required to obtain an RMAT designation, the RMAT application was denied. We cannot be sure that submission of an IND application, clinical trial application (“CTA”) or similar application will result in the FDA or comparable foreign regulatory authorities, as applicable, allowing clinical trials to begin in a timely manner, if at all. Moreover, even if these trials begin, issues may arise that could cause regulatory authorities to require us to suspend or terminate such clinical trials. Events that may prevent successful or timely initiation or completion of clinical trials include: inability to generate sufficient preclinical, toxicology or other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data to support the initiation or continuation of clinical trials; delays in reaching a consensus with regulatory authorities on study design or implementation of the clinical trials; delays or failure in obtaining regulatory authorization to commence a trial; delays in reaching agreement on acceptable terms with prospective CROs and clinical trial sites, the terms of which can be subject to extensive negotiation and may vary significantly among different CROs and clinical trial sites; delays in identifying, recruiting and training suitable clinical investigators; delays in obtaining required IRB approval at each clinical trial site; difficulties in patient enrollment in our clinical trials for a variety of reasons; delays related to safety concerns; delays in manufacturing, testing, releasing, validating or importing/exporting sufficient stable quantities of our product candidates for use in clinical trials or the inability to do any of the foregoing; failure by our CROs, other third parties or us to adhere to clinical trial protocols; failure to perform in accordance with the FDA’s or any other regulatory authority’s good clinical practices (“GCPs”) or applicable regulatory guidelines in other countries; changes to the clinical trial protocols; clinical sites deviating from trial protocol or dropping out of a trial; changes in regulatory requirements and guidance that require amending or submitting new clinical protocols; selection of clinical endpoints that require prolonged periods of observation or analyses of resulting data; transfer of manufacturing processes to larger-scale facilities operated by a CDMO and delays or failure by our CDMOs or us to make any necessary changes to such manufacturing process and demonstrate comparability to materials used in earlier clinical phases; and third parties being unwilling or unable to satisfy their contractual obligations to us.</w:t>
      </w:r>
    </w:p>
    <w:p>
      <w:pPr>
        <w:spacing w:after="0" w:line="373"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We could also encounter delays if a clinical trial is placed on clinical hold, suspended or terminated by us, the IRBs of the institutions in which such trials are being conducted, or the FDA, the competent authorities and/or ethics committees of the UK, Australia, EU Member States or other regulatory authorities, if a clinical trial is recommended for suspension or termination by the DSMB or equivalent body for such trial, or on account of changes to federal, state, or local laws. If we are required to conduct additional clinical trials or other testing of NGN-401 or any other product candidates beyond those that we contemplate, if we are unable to successfully complete clinical trials of NGN-401 or any other product candidates, if the results of such trials are not positive or are only moderately positive or if there are safety concerns, our business and results of operations may be adversely affected and we may incur significant additional costs.</w:t>
      </w:r>
    </w:p>
    <w:p>
      <w:pPr>
        <w:spacing w:after="0" w:line="135"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In addition, even if we are able to successfully complete the clinical trial for NGN-401, we cannot guarantee that the FDA or foreign regulatory authorities will interpret the results as we do, and more trials could be required before we submit our product candidates for approval. This is particularly true for clinical trials in very rare diseases, such as with our Embolden registrational trial of NGN-401 for the treatment of Rett syndrome, where the very small patient population makes it difficult to conduct two traditional, adequate and well-controlled studies. In such cases, the FDA or comparable foreign regulatory authorities are often required or permitted to exercise flexibility in approving therapies for such diseases, but obtaining flexibility is uncertain and may never occur. Moreover, results acceptable to support approval in one jurisdiction may be deemed inadequate by another regulatory authority to support regulatory approval in the other jurisdiction. To the extent that the results of the trials are not satisfactory to the FDA or applicable regulatory authorities for support of a marketing application, we may be required to expend significant resources, which may not be available to us, to conduct additional trials in support of potential approval of our product candidates.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0" w:name="page51"/>
    <w:bookmarkEnd w:id="5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Preliminary, “topline” or interim data from our preclinical studies and clinical trials that we announce or publish from time to time may change as more patient data becomes available and are subject to audit and verification procedures.</w:t>
      </w:r>
    </w:p>
    <w:p>
      <w:pPr>
        <w:spacing w:after="0" w:line="107"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From time to time, we may publicly disclose preliminary, interim or topline data from our preclinical studies and clinical trials, which are based on a preliminary analysis of then-available data, and the results and related findings and conclusions are subject to change following a more comprehensive review of the data. We also make assumptions, estimations, calculations and conclusions as part of our analyses of these data without the opportunity to fully and carefully evaluate complete data. Preliminary, interim or topline results also remain subject to audit and verification procedures that may result in the final data being materially different from the preliminary data previously disclosed. These preliminary, interim or topline data are subject to the risk that one or more of the clinical outcomes may materially change as patient enrollment continues and more patient data become available or as patients from our clinical trials continue other treatments. For example, in June 2024, we announced initial safety data related to the dosing of our first four participants at the 1E15 vg dose in our Phase 1/2 clinical trial of NGN-401 for the treatment of Rett syndrome which suggested a favorable safety profile for the 1E15 vg dose. In November 2024, an SAE was reported in a participant who received the 3E15 vg dose, which caused us to revise our assumptions regarding the safety profile of the 3E15 vg dose. Because of this potential for change, preliminary, interim and topline data should be viewed with caution until final data are available. Further, others, including regulatory agencies, may not accept or agree with our assumptions, estimates, calculations, conclusions or analyses or may interpret or weigh the importance of data differently, which could impact the value of the particular product candidate, the approvability or commercialization of a particular product candidate and our company in general. In addition, the information we choose to publicly disclose regarding a particular preclinical study or clinical trial is based on what is typically extensive information, and you or others may not agree with what we determine is material or otherwise appropriate information to include in our disclosure. If the preliminary, interim or topline data that we report differ from actual results, or if others, including regulatory authorities, disagree with the conclusions reached, our ability to obtain approval for, and commercialize, NGN-401 or any other product candidate may be harmed, which could harm our business, operating results, prospects or financial condition. In addition, differences between preliminary, interim or topline data and final data could significantly harm our business prospects and may cause the trading price of our common stock to fluctuate significantly.</w:t>
      </w:r>
    </w:p>
    <w:p>
      <w:pPr>
        <w:spacing w:after="0" w:line="17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current or future clinical trials may reveal significant adverse events or undesirable side effects not seen in our preclinical studies and may result in a safety profile that could halt clinical development, inhibit regulatory approval or limit commercial potential or market acceptance of NGN-401 or any other product candidates or result in potential product liability claims.</w:t>
      </w:r>
    </w:p>
    <w:p>
      <w:pPr>
        <w:spacing w:after="0" w:line="138"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Results of our clinical trials could reveal a high and unacceptable severity and prevalence of side effects, adverse events or unexpected characteristics. We believe NGN-401 has been generally well-tolerated at the 1E15 vg dose; however, we have not yet completed this clinical trial and the benefit-risk assessments of our product candidates remains ongoing. In November 2024, a participant who had recently received the 3E15 vg dose of NGN-401 experienced an SAE consistent with the known risks of AAV gene therapy and subsequently died following complications from a rare and life-threatening hyperinflammatory syndrome associated with systemic exposure to high doses of AAV. Participants at the 1E15 vg dose have also experienced adverse events, and may experience adverse events in the future. If additional SAEs or other adverse events or other side effects are observed in any of our current or future clinical trials, we may have difficulty recruiting patients to such trials, patients may drop out of our trials, patients may be harmed, or we may be required to delay enrollment or abandon one or more cohorts of a trial or delay or abandon the trials or our development efforts of one or more product candidates altogether, including NGN-401. We, the FDA, MHRA, or other applicable regulatory authorities, or an IRB, may require suspension of any clinical trials of NGN-401 or any other product candidates at any time for various reasons, including a finding that subjects or patients in such trials are being exposed to unacceptable health risks or adverse side effects. Some potential products developed in the biotechnology industry that initially showed therapeutic promise in early-stage trials have later been found to cause side effects that prevented their further development. Even if the side effects do not preclude a product candidate from obtaining or maintaining marketing approval, undesirable side effects may inhibit market acceptance of an approved product due to its tolerability versus other therapies. In addition, as gene replacement has a potentially life-long activity, with no ability to withdraw the product as with other treatment modalities, this profile could prolong the duration of undesirable side effects, which could also inhibit market acceptance. Treatment-emergent adverse events could also affect patient recruitment or the ability of enrolled subjects to complete our clinical trials or could result in potential product liability claims. Potential side effects associated with NGN-401 or any other product candidates may not be appropriately recognized or managed by the treating medical staff, as toxicities resulting from NGN-401 or any other product candidates may not be normally encountered in the general patient population and by medical personnel. Any of these occurrences could harm our business, financial condition, results of operations and prospects significantly.</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1" w:name="page52"/>
    <w:bookmarkEnd w:id="5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In addition, even if we successfully advance NGN-401 or any other product candidates through clinical trials, such trials will only include a limited number of patients and limited duration of follow up to such product candidates. As a result, we cannot be assured that adverse effects of NGN-401 or any other product candidates will not be uncovered when a significantly larger number of patients are exposed to such product candidate after approval, or a significantly longer follow up post-dosing is obtained as part of regulators’ recommendations for long-term follow up of clinical study subjects treated with gene therapy. For example, product candidates tested in clinical-stage gene therapy trials by commercial stage companies have later been involved in well-publicized adverse events after approval and commercialization, including death, and/or have failed to demonstrate the expected efficacy. Lack of efficacy or the occurrence of serious adverse events, even if such adverse events are not ultimately attributable to the relevant product candidate, may result in increased government regulation, unfavorable public perception of gene therapies, potential regulatory delays in the testing or approval of our product candidates, stricter labeling requirements for those product candidates that are approved and a decrease in demand for any such product candidate. Further, any clinical trials may not be sufficient to determine the effect and safety consequences of using our product candidates over a multi-year period. For example, another company pursuing gene therapy in a clinical trial for a different rare disease recently reported the discovery of cancer believed to have been caused by vector integration several years after an AAV-based gene therapy treatment was received by that patient, although causality has yet to be fully established. While we believe such subsequent adverse events to be rare, because gene therapy is relatively new, there may be other potential risks of gene therapy that may emerge in the years following treatment of which we are not yet aware. Safety issues in other AAV-based gene therapy programs could result in increased regulatory scrutiny, new guidance, clinical holds on our trials, protocol amendments, or delays affecting our programs even if our trials have not experienced similar events.</w:t>
      </w:r>
    </w:p>
    <w:p>
      <w:pPr>
        <w:spacing w:after="0" w:line="159"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We have expended substantial efforts and costs testing our EXACT technology in preclinical studies of NGN-401, including completing toxicology studies prior to the FDA providing clearance of the IND for NGN-401 and have not seen any adverse effects that we believe are attributable to EXACT in our Phase 1/2 trial of NGN-401 as of our most recent data cut off date of October 30, 2025. However, we cannot guarantee that significant adverse effects will not be seen in the future in clinical trials for NGN-401, which could result in clinical holds, delays, suspension or withdrawal of our IND. If any of the foregoing events occur or if NGN-401, NGN-101 or any other product candidates prove to be unsafe, our entire pipeline could be affected, which would have a material adverse effect on our business, financial condition, results of operations and prospects.</w:t>
      </w:r>
    </w:p>
    <w:p>
      <w:pPr>
        <w:spacing w:after="0" w:line="16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expend our limited resources to pursue a particular product candidate, such as NGN-401, and fail to capitalize on candidates that may be more profitable or for which there is a greater likelihood of success.</w:t>
      </w:r>
    </w:p>
    <w:p>
      <w:pPr>
        <w:spacing w:after="0" w:line="107"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intend to focus our research and development efforts on certain selected product candidates. To date we have allocated significant resources to our most advanced product candidates, NGN-401 and NGN-101. As a result, we may forgo or delay pursuit of opportunities with other potential candidates that may later prove to have greater commercial potential. For example, in November 2024, we announced that we do not expect to move forward with the NGN-101 for CLN5 Batten disease gene therapy program at this time. Given the rarity of the disease, continued investment in the program was predicated on a streamlined registrational pathway with the FDA. To support a streamlined pathway, we submitted an RMAT application to the FDA. Despite our belief that we met the standard of preliminary clinical evidence required to obtain an RMAT designation, the RMAT designation was denied. Our resource allocation decisions may cause us to fail to capitalize on viable commercial products or profitable market opportunities. Our spending on current and future research and development programs for specific indications may not yield any commercially viable product candidates. If we do not accurately evaluate the commercial potential or target market for a particular product candidate, we may relinquish valuable rights to that candidate through collaboration, licensing or other royalty arrangements in cases in which it would have been more advantageous for us to retain sole development and commercialization rights to such candidate.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2" w:name="page53"/>
    <w:bookmarkEnd w:id="5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if regulatory approval is obtained, any approved products resulting from NGN-401 or any other product candidate may not achieve adequate market acceptance among clinicians, patients, healthcare third-party payors and others in the medical community necessary for commercial success and we may not generate any future revenue from the sale or licensing of such products.</w:t>
      </w:r>
    </w:p>
    <w:p>
      <w:pPr>
        <w:spacing w:after="0" w:line="125"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Even if regulatory approval is obtained for NGN-401 or any other product candidates, our product candidates may not gain market acceptance among physicians, patients, healthcare payors or the medical community. We may not generate or sustain revenue from sales of the product due to factors such as whether the product can be sold at a competitive cost and whether it will otherwise be accepted in the market. There is currently one FDA-approved product and multiple other product candidates in various stages of development for the treatment of Rett syndrome. Market participants with significant influence over acceptance of new treatments, such as clinicians and third-party payors, may not adopt a gene therapy replacement with a target product profile such as that of NGN-401 or for its targeted indications, and we may not be able to convince the medical community and third-party payors to accept and use, or to provide favorable reimbursement for, any product candidates developed by us or our existing or future collaborators. Market acceptance of NGN-401 or any other product candidates will depend on many factors, including factors that are not within our control.</w:t>
      </w:r>
    </w:p>
    <w:p>
      <w:pPr>
        <w:spacing w:after="0" w:line="149"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Sales of biological products also depend on the willingness of clinicians to prescribe the treatment. We cannot predict whether clinicians, clinicians’ organizations, hospitals, other healthcare providers, government agencies or private insurers will determine that any of our approved products are safe, therapeutically effective or potent, cost effective or less burdensome as compared with competing treatments. If NGN-401 or any other product candidate is approved but does not achieve an adequate level of acceptance by such parties, we may not generate or derive sufficient revenue from that product and may not become or remain profitable.</w:t>
      </w:r>
    </w:p>
    <w:p>
      <w:pPr>
        <w:spacing w:after="0" w:line="169"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never commercialized a product candidate and may lack the necessary expertise, personnel and resources to successfully commercialize a product candidate on our own or together with suitable collaborators.</w:t>
      </w:r>
    </w:p>
    <w:p>
      <w:pPr>
        <w:spacing w:after="0" w:line="107"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We have never commercialized a product candidate and currently have no sales force, marketing or distribution capabilities. To achieve commercial success for a product candidate, we may opt to license such product candidate to others, in which case we may rely on the assistance and guidance of our collaborators on that license arrangement. For a product candidate for which we retain commercialization rights and marketing approval, we will have to develop our own sales, marketing and supply organization or outsource these activities to a third party. Factors that may affect our ability to commercialize a product candidate, if approved, on our own include recruiting and retaining adequate numbers of effective sales and marketing personnel, developing adequate educational and marketing programs to increase public acceptance of our approved product candidate,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a product candidate upon approval. Moreover, we may not be able to build an effective sales and marketing organization. If we are unable to build our own distribution and marketing capabilities or to find suitable partners for the commercialization of an approved product candidate, we may not generate revenues from them or be able to reach or sustain profitability.</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3" w:name="page54"/>
    <w:bookmarkEnd w:id="5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never completed any late-stage clinical trials and may not be able to file an IND application or other applications for regulatory approval to commence additional clinical trials on the timelines we expect. Even if we are able to complete such trials, the FDA or comparable foreign regulatory authorities may not permit us to proceed or could suspend or terminate any such trial after it has been initiated.</w:t>
      </w:r>
    </w:p>
    <w:p>
      <w:pPr>
        <w:spacing w:after="0" w:line="125" w:lineRule="exact"/>
        <w:rPr>
          <w:sz w:val="20"/>
          <w:szCs w:val="20"/>
          <w:color w:val="auto"/>
        </w:rPr>
      </w:pPr>
    </w:p>
    <w:p>
      <w:pPr>
        <w:jc w:val="both"/>
        <w:ind w:firstLine="387"/>
        <w:spacing w:after="0" w:line="254" w:lineRule="auto"/>
        <w:rPr>
          <w:sz w:val="20"/>
          <w:szCs w:val="20"/>
          <w:color w:val="auto"/>
        </w:rPr>
      </w:pPr>
      <w:r>
        <w:rPr>
          <w:rFonts w:ascii="Times New Roman" w:cs="Times New Roman" w:eastAsia="Times New Roman" w:hAnsi="Times New Roman"/>
          <w:sz w:val="17"/>
          <w:szCs w:val="17"/>
          <w:color w:val="auto"/>
        </w:rPr>
        <w:t>We are early in our development efforts and will need to successfully complete later-stage and pivotal clinical trials in order to obtain FDA or comparable foreign regulatory approval to market our product candidates. Carrying out clinical trials and the submission of a successful IND or CTA is a complicated process. Even though our product candidate NGN-401 for Rett syndrome has been accepted into the FDA’s START program and granted Breakthrough Therapy and RMAT designations, the combination of which is expected to allow access to frequent advice from FDA staff, intensive guidance on efficient drug development and eligibility for an Accelerated Approval pathway and Priority Review, our lack of experience with FDA submissions may still slow our progress towards FDA approval. We have completed enrollment in both our Phase 1/2 trial of NGN-101 for the treatment of CLN5 Batten disease and our Phase 1/2 clinical trial of NGN-401 for the treatment of Rett syndrome and have commenced dosing in our Embolden registrational trial for NGN-401 in the United States; however, we have not yet completed a Phase 1/2 clinical trial and have limited experience as a company in preparing, submitting and prosecuting regulatory filings. We expect to engage with foreign regulators to determine the requirements to support initiation of a pivotal clinical trial in foreign countries; however, those regulatory authorities may have different requirements for approval, including different requirements for clinical trial designs, and may recommend or require changes to the study design for NGN-401, including the number and size of registrational clinical trials required to be conducted in that program to be considered for approval. Regulatory authorities could also require manufacturing changes or have us implement additional analytical processes prior to initiation of a future clinical trial. Consequently, we may be unable to successfully and efficiently execute and complete necessary clinical trials in a way that leads to regulatory submission and approval of our product candidates or we may determine that the regulatory requirements for submission are too burdensome to support continued development of one or more of our product candidates, as we did with our NGN-101 product candidate for CLN5 Batten disease, which we do not plan to move forward with due to a lack of alignment with the FDA on a streamlined pathway to registration. Additionally, even if regulatory authorities agree with the design and implementation of the clinical trials set forth in a regulatory meeting, such regulatory authorities may change their requirements in the future. The FDA or comparable foreign regulatory authorities may require the analysis of data from trials assessing different doses of the product candidate alone or in combination with other therapies to justify the selected dose prior to the initiation of large trials in a specific indication. Any delays or failure to initiate clinical trials or obtain regulatory approvals for our trials may prevent us from completing our clinical trials or commercializing our products on a timely basis, if at all. We are subject to similar risks related to the review and authorization of our protocols and amendments by comparable foreign regulatory authorities.</w:t>
      </w:r>
    </w:p>
    <w:p>
      <w:pPr>
        <w:spacing w:after="0" w:line="168"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For our preclinical pipeline, if the IND-enabling studies support a decision to advance into clinical development, we would plan to submit an IND or CTA with a foreign regulatory authority. We may not be able to file the IND or CTA in accordance with our desired timelines for future product candidates. For example, we may experience manufacturing delays or other delays with IND-enabling studies, including with suppliers, study sites, or third-party contractors and vendors on which we depend. Moreover, we cannot be sure that submission of an IND application will result in the FDA or comparable foreign regulatory authorities allowing further clinical trials to begin, or that, once begun, issues will not arise that lead us to suspend or terminate such clinical trials.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Manufacturing</w:t>
      </w:r>
    </w:p>
    <w:p>
      <w:pPr>
        <w:spacing w:after="0" w:line="21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Gene therapies are novel, complex and difficult to manufacture. We could experience manufacturing problems that result in delays in the development or commercialization of our product candidates or otherwise harm our business.</w:t>
      </w:r>
    </w:p>
    <w:p>
      <w:pPr>
        <w:spacing w:after="0" w:line="10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manufacture of gene therapy products is technically complex and necessitates substantial expertise and capital investment. Production difficulties caused by unforeseen events may delay the availability of material for our clinical studies. While we have established our own manufacturing facility to provide clinical and commercial supply of our product candidates, we expect to rely on contract manufacturers for certain portions of our manufacturing needs for the foreseeable future, such as those related to research grade material for our early preclinical studies.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4" w:name="page55"/>
    <w:bookmarkEnd w:id="5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The manufacturers of biological and pharmaceutical products must comply with strictly enforced cGMP requirements, state and federal regulations, as well as foreign requirements when applicable. Any failure of us or our CDMOs to adhere to or document compliance with such regulatory requirements could lead to a delay or interruption in the availability of our program materials for clinical trials or enforcement action from the FDA, EMA or other foreign regulatory authorities. If we or our manufacturers were to fail to comply with the FDA, EMA or other regulatory authority, it could result in sanctions being imposed on us, including clinical holds, fines, injunctions, civil penalties, delays, suspension or withdrawal of approvals, license revocation, seizures or recalls of product candidates or products, operating restrictions and criminal prosecutions, any of which could significantly and adversely affect supplies of our product candidates. Our potential future dependence upon others for the manufacture of our product candidates may also adversely affect our future profit margins and our ability to commercialize any product candidates that receive regulatory approval on a timely and competitive basis.</w:t>
      </w:r>
    </w:p>
    <w:p>
      <w:pPr>
        <w:spacing w:after="0" w:line="149"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Biological products are inherently difficult to manufacture. Although we believe that the manufacture of our product candidates may be simplified due to their shared raw materials and other similarities, we cannot be certain that this will be the case and we may be required to develop manufacturing methods that ultimately differ significantly between product candidates, which would require that we invest substantial time and capital to develop suitable manufacturing methods. Our program materials are manufactured using technically complex processes requiring specialized equipment and facilities, highly specific raw materials, cells, and reagents, and other production constraints. Our production process requires a number of highly specific raw materials, cells and reagents with limited suppliers. Even though we aim to have backup supplies of raw materials, cells and reagents whenever possible, we cannot be certain those supplies will be sufficient if our primary sources are unavailable. One or more of our suppliers is the sole source of certain materials used by us in our manufacturing process, and a disruption of the supply of those materials could also negatively impact our ability to manufacture clinical supply as we would have to suspend or revise our operations to accommodate for any disruption in the supply of those materials. A shortage of a critical raw material, cell line, or reagent, or a technical issue during manufacturing, may lead to delays in clinical development or commercialization plans. We are particularly susceptible to any shortages, delays or inability to obtain suitable raw materials, given that all of our current and planned product candidates require this starting material. Any changes in the manufacturing of components of the raw materials we use could result in unanticipated or unfavorable effects in our manufacturing processes, resulting in delays. The raw materials we use may also be sensitive to certain environmental factors, may change over time, or may be of inconsistent quality which could cause small variances in the biological assays between manufacturing lots.  If we experience significant variability between our manufacturing lots, we may be required to perform additional testing for safety and efficacy prior to seeking approval for such product candidate, which could delay our development process. </w:t>
      </w:r>
    </w:p>
    <w:p>
      <w:pPr>
        <w:spacing w:after="0" w:line="146"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Once the biological products are manufactured, the product must be analyzed utilizing assays and meet pre-determined specifications in order to be used in certain preclinical studies, in any clinical trial, and, if approval is obtained, for commercial distribution. This testing is performed in-house and at third-party contract manufacturers. Delays or other unexpected obstacles in developing analytical methods or in performing the tests and obtaining the results in-house or at a third-party contractor could result in unanticipated impact to our ability to supply material as needed for preclinical, clinical, or commercial needs.</w:t>
      </w:r>
    </w:p>
    <w:p>
      <w:pPr>
        <w:spacing w:after="0" w:line="1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and our contract manufacturers for AAV9 are subject to significant regulation with respect to manufacturing of our products. The third-party manufacturing facilities on which we rely, our in-house manufacturing facility, and any manufacturing facility that we may have in the future, may have limited capacity or fail to meet the applicable stringent regulatory requirements.</w:t>
      </w:r>
    </w:p>
    <w:p>
      <w:pPr>
        <w:spacing w:after="0" w:line="125"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currently have relationships with a limited number of suppliers for the raw materials, including plasmids and virus banks, required by the manufacturing processes of our product candidates. Virus intended for use in our early preclinical studies has been and can be externally supplied; however, if we experience slowdowns or problems with our in-house manufacturing facility and are unable to establish or scale our internal manufacturing capabilities, we will need to continue to contract with manufacturers to produce the preclinical, clinical and commercial supply and such supply will be more uncertain and subject to delays. In addition, each supplier may require licenses to manufacture certain components of the supply if such processes are not owned by the supplier or in the public domain and we may be unable to license such intellectual property rights on reasonable commercial terms or to transfer or sublicense the intellectual property rights we may have with respect to such activities.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5" w:name="page56"/>
    <w:bookmarkEnd w:id="5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All entities involved in the preparation of therapeutics for clinical trials or commercial sale, including our existing contract manufacturers for components of our product candidates, are subject to extensive regulation. Components of a finished therapeutic product approved for commercial sale or used in late-stage clinical trials must be manufactured in accordance with cGMP. These regulations govern manufacturing processes and procedures (including recordkeeping)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 biologics license application (“BLA”) or marketing authorization application (“MAA”) on a timely basis. Our facilities and quality systems and the facilities and quality systems of some or all of our third-party contractors must pass a pre-approval inspection for compliance with the applicable regulations as a condition of regulatory approval of our current or future product candidates. In addition, regulatory authorities may, at any time, audit or inspect a manufacturing facility involved with the preparation of our current or future product candidates or the associated quality systems for compliance with the regulations applicable to the activities being conducted, and they could put a hold on one or more of our clinical trials if the facilities of our CDMOs do not pass such audit or inspections. If these facilities do not pass a pre-approval plant inspection, the FDA or other foreign regulatory agency approval of the products will not be granted.</w:t>
      </w:r>
    </w:p>
    <w:p>
      <w:pPr>
        <w:spacing w:after="0" w:line="154"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Regulatory authorities also may, at any time following approval of a product for sale, inspect or audit our manufacturing facilities or those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manufacturers fail to maintain regulatory compliance, the FDA or other foreign regulatory agencies can impose regulatory sanctions including, among other things, refusal to approve a pending application for a new drug product or biologic product, or revocation of a pre-existing approval. As a result, our business, financial condition and results of operations may be harmed.</w:t>
      </w:r>
    </w:p>
    <w:p>
      <w:pPr>
        <w:spacing w:after="0" w:line="13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Additionally, if supply from one approved manufacturer is interrupted, there could be a significant disruption in commercial supply. An alternative manufacturer would need to be qualified through a BLA and/or MAA supplement,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133"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These factors could cause the delay of clinical trials, regulatory submissions, required approvals or commercialization of our product candidates, cause us to incur higher costs and prevent us from commercializing our products successfully, if approved. Further, if our suppliers fail to meet contractual requirements, and we are unable to secure one or more replacement suppliers capable of production at a substantially equivalent cost, our clinical trials may be delayed or we could lose future potential revenue, if any.</w:t>
      </w:r>
    </w:p>
    <w:p>
      <w:pPr>
        <w:spacing w:after="0" w:line="1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depend on third-party suppliers for materials used in the manufacture of our product candidates, and the loss of these third-party suppliers or their inability to supply us with adequate materials could harm our business.</w:t>
      </w:r>
    </w:p>
    <w:p>
      <w:pPr>
        <w:spacing w:after="0" w:line="120"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rely on third-party suppliers for certain materials and components required for the production of our product candidates. Our dependence on these third-party suppliers and the challenges we may face in obtaining adequate supplies of materials involve several risks, including limited control over pricing, availability and quality of supplies and delivery schedules. There is substantial demand and limited supply for certain of the raw materials used to manufacture gene therapy products. As a small company, our negotiation leverage is limited and we are likely to get lower priority than our larger competitors. We cannot be certain that our suppliers will continue to provide us with the quantities of raw materials that we require or satisfy our anticipated specifications and quality requirements. One or more of our suppliers is the sole source of certain materials used by us in our manufacturing process, and a disruption of the supply of those materials could also negatively impact our ability to manufacture clinical supply as we would have to suspend or revise our operations to accommodate for any disruption in the supply of those materials.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6" w:name="page57"/>
    <w:bookmarkEnd w:id="5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Delays in developing our manufacturing capabilities or failure to achieve operating efficiencies from such capabilities may require us to devote additional resources and management time to manufacturing operations for future product candidates and may delay our product development timelines.</w:t>
      </w:r>
    </w:p>
    <w:p>
      <w:pPr>
        <w:spacing w:after="0" w:line="10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We have a GMP manufacturing facility located in Houston, Texas that includes process, analytical and bioanalytical development labs with experienced teams. NGN-401 was manufactured at our Houston facility and clinical-grade product was used for dosing in the Phase 1/2 clinical trial of NGN-401 and is being used for dosing in the Embolden trial. While we have adequate material for our NGN-401 clinical trial program, we expect to conduct manufacturing campaigns in the future to generate supply of other product candidates for our preclinical studies for our discovery programs, and we may not be able to satisfy such supply through production at our own facility and may need to outsource some or all of our production work.</w:t>
      </w:r>
    </w:p>
    <w:p>
      <w:pPr>
        <w:spacing w:after="0" w:line="149"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Other risks relating to the manufacture of biologics and drug products include: production interruptions, delays in quality/release testing, equipment malfunctions, facility contamination, labor problems, natural disasters, disruption in utility services, terrorist activities, war, cases of force majeure, weather-related events, acts of god (such as public health crises) or other events beyond our control and, in each case, could result in delays in our production or difficulties in maintaining compliance with applicable regulatory requirements.</w:t>
      </w:r>
    </w:p>
    <w:p>
      <w:pPr>
        <w:spacing w:after="0" w:line="1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Any contamination or interruption in our manufacturing process, shortages of raw materials or failure of our suppliers to deliver necessary components could result in delays in our clinical development or marketing schedules.</w:t>
      </w:r>
    </w:p>
    <w:p>
      <w:pPr>
        <w:spacing w:after="0" w:line="10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Given the nature of gene therapy manufacturing, there is a risk of contamination. Any contamination could adversely affect our ability to produce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of our product candidates could adversely impact or disrupt the commercial manufacturing or the production of clinical material, which could adversely affect our development timelines and our business, financial condition, results of operations and prospects.</w:t>
      </w:r>
    </w:p>
    <w:p>
      <w:pPr>
        <w:spacing w:after="0" w:line="16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be able to successfully manufacture our product candidates in sufficient quality and quantity, which would delay or prevent us from developing our product candidates and commercializing resulting approved products, if any.</w:t>
      </w:r>
    </w:p>
    <w:p>
      <w:pPr>
        <w:spacing w:after="0" w:line="10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To date, we have manufactured NGN-401 in quantities and quality adequate for preclinical, toxicology and clinical studies. In order to conduct clinical trials for a product candidate and for commercialization of the resulting product if that product candidate is approved for sale, we will need to manufacture future product candidates in additional cGMP campaigns which may also require us to manufacture using larger batch sizes. We may not be able to successfully manufacture sufficient quantity, including any necessary increases in manufacturing capacity, for any of our future product candidates in a timely or cost-effective manner or at all. Significant changes or scale-up of manufacturing may require additional validation studies and/or analytical comparability studies, which are costly and which regulatory authorities must review and approve. In addition, quality issues may arise during those changes or scale-up activities. If we are unable to successfully manufacture any of our future product candidates in sufficient quality and quantity, the development of that product candidate and regulatory approval or commercial launch for any resulting products may be delayed or there may be a shortage in supply, which could significantly harm our business.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Changes in methods of product candidate manufacturing or formulation may result in additional costs or delay.</w:t>
      </w:r>
    </w:p>
    <w:p>
      <w:pPr>
        <w:spacing w:after="0" w:line="19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product characteristics. Such changes carry the risk that they will not achieve our intended objectives.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approval from the FDA or foreign regulatory agencies.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In addition, we may be required to make significant changes to our upstream and downstream processes across our pipeline, which could delay the development of our future product candidates.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57" w:name="page58"/>
    <w:bookmarkEnd w:id="5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Reliance on Third Parties</w:t>
      </w:r>
    </w:p>
    <w:p>
      <w:pPr>
        <w:spacing w:after="0" w:line="215"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have a number of academic collaborations, and currently rely on our collaboration with the University of Edinburgh for certain aspects of our preclinical research and development programs, including working in collaboration to discover and preclinically develop our potential product candidates for our near-term future pipeline. Failure or delay of the University of Edinburgh or any other collaborator to fulfil all or part of its obligations under our agreements, a breakdown in collaboration between the parties or a complete or partial loss of the relationship would materially harm our business.</w:t>
      </w:r>
    </w:p>
    <w:p>
      <w:pPr>
        <w:spacing w:after="0" w:line="129"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Our discovery engine is supplemented by academic collaborations to expand our platform, which we rely upon to advance discovery and development of product candidates. For example, our collaboration with the University of Edinburgh is critical to our business. In December 2020, we entered into a Master Collaboration Agreement (the “MCA”) with the University of Edinburgh, which we rely on to conduct certain aspects of the preclinical development of our pipeline candidates, including NGN-401 and all of our early-stage pipeline product candidates. Further, in March 2022, we entered into an exclusive license agreement with the University of Edinburgh for, with respect to certain University of Edinburgh-owned technology, a worldwide, exclusive, sublicensable license to develop, have developed, use, manufacture, have manufactured, supply, have supplied, sell, have sold, offer for sale, commercialize, import, export, register, reproduce, dispose of or otherwise exploit any products, processes, components, services and/or technologies incorporating the technology for the prevention or treatment of disease or medical or genetic conditions in humans. We also currently rely on the University of Edinburgh for portions of preclinical research capabilities under the direction of Dr. Stuart Cobb, Professor in Translational Neuroscience at the University of Edinburgh and our Chief Scientific Officer. Pursuant to the MCA, we and the University of Edinburgh agreed to collaborate on certain research and development projects (the “Projects”), and we agreed to provide funding for such Projects. In exchange for such funding, the University of Edinburgh grants us an option to exclusively license any intellectual property arising from such Projects. Either party has the right in certain circumstances to terminate the collaboration pursuant to the terms of the MCA. If the MCA is not renewed or is terminated, our pipeline of product candidates would be significantly adversely affected, and our business would be materially harmed.</w:t>
      </w:r>
    </w:p>
    <w:p>
      <w:pPr>
        <w:spacing w:after="0" w:line="151"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Following an amendment to the MCA in November 2023, the term of the research funding portion of the MCA, under which we have the ability to acquire exclusive rights to additional technology and gene therapy products, now expires in December 2026. If we need to extend the term of this provision beyond that date, we will need to negotiate an additional extension with the University of Edinburgh, and we may not be able to agree on such an extension on terms that are acceptable to us, or at all. We may have disagreements with the University of Edinburgh with respect to the interpretation of the MCA, use of resources or otherwise that could cause our relationship to deteriorate. As a result, the University of Edinburgh may reduce focus on, and resources allocated to, our programs, potentially delaying or terminating our ability to advance product candidates through preclinical studies. Additionally, if Dr. Cobb were to leave the University of Edinburgh or to otherwise no longer be meaningfully involved with us, our preclinical research and development capabilities may be substantially reduced.</w:t>
      </w:r>
    </w:p>
    <w:p>
      <w:pPr>
        <w:spacing w:after="0" w:line="140"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Further, under the MCA, the University of Edinburgh is primarily responsible for prosecuting and maintaining our licensed intellectual property, and it may fail to properly prosecute, maintain or defend such intellectual property. In such event, if we are unable to otherwise maintain or defend such intellectual property, we could face the potential invalidation of the intellectual property or be subjected to litigation or arbitration, any of which would be time-consuming and expensive. To enforce the licensed intellectual property rights under the MCA, we will need to coordinate with the University of Edinburgh, which could slow down or hamper our ability to enforce our licensed intellectual property rights. If this happens, we could face increased competition that could materially and adversely affect our business. For a further description of the MCA, see Part II, Item 7 of this Annual Report on Form 10-K titled “</w:t>
      </w:r>
      <w:r>
        <w:rPr>
          <w:rFonts w:ascii="Times New Roman" w:cs="Times New Roman" w:eastAsia="Times New Roman" w:hAnsi="Times New Roman"/>
          <w:sz w:val="17"/>
          <w:szCs w:val="17"/>
          <w:i w:val="1"/>
          <w:iCs w:val="1"/>
          <w:color w:val="auto"/>
        </w:rPr>
        <w:t>Management’s Discussion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Analysis of Financial Condition and Results of Operations—License and Collaboration Agreements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also currently have or may in the future engage in other academic collaborations to supplement our internal discovery and product development program. While these academic institutions have contractual obligations to us, they are independent entities and are not under our control or the control of our officers or directors. Our research and licensing agreements with academic collaborators generally provide academic collaborators with license maintenance fees, development and regulatory milestone payments, royalties on net sales of products and a portion of sublicense income that we receive. Upon the scheduled expiration of any academic collaboration, we may not be able to renew the related agreement, or any renewal could be on terms less favorable to us than those contained in the existing agreement. Furthermore, either we or the academic institution generally may terminate the sponsored research agreement for convenience following a specified notice period. If any of these academic institutions decides to not renew or to terminate the related agreement or decides to devote fewer resources to such activities, our discovery efforts would be diminished, while our royalty obligations, if any, would continue unmodified.</w:t>
      </w:r>
    </w:p>
    <w:p>
      <w:pPr>
        <w:spacing w:after="0" w:line="169"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currently rely, and intend in the future to rely, on third parties to conduct a significant portion of our preclinical studies and existing clinical trials and potential future clinical trials for product candidates, and those third parties may not perform satisfactorily, including failing to meet deadlines for the completion of such trials.</w:t>
      </w:r>
    </w:p>
    <w:p>
      <w:pPr>
        <w:spacing w:after="0" w:line="138"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We have engaged CROs or other third parties to conduct preclinical and IND enabling studies and our clinical trials, including our Phase 1/2 clinical trial and our Embolden registrational trial of NGN-401. We currently use CDMOs to provide certain research-grade materials and may in the future use CDMOs for future clinical trials for other product candidates.</w:t>
      </w:r>
    </w:p>
    <w:p>
      <w:pPr>
        <w:spacing w:after="0" w:line="12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expect to continue to rely on third parties, including CROs, medical institutions and clinical investigators, to conduct those clinical trials, and to rely on CDMOs for some of our research activities and potentially for clinical trials in the future.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do so on commercially reasonable terms, if at all. For example, switching or adding CROs involves substantial cost and requires management time and focus. In addition, there is a natural transition period when a new CRO commences work. As a result, delays occur, which can materially impact our ability to meet our desired clinical development timelines. Though we intend to carefully manage our relationships with CROs and with all of our other third party providers, there can be no assurance that we will not encounter challenges or delays in the future or that these delays or challenges will not have a material adverse impact on our business and financial condition.</w:t>
      </w:r>
    </w:p>
    <w:p>
      <w:pPr>
        <w:spacing w:after="0" w:line="13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In addition, any third parties conducting our clinical trials will not be our employees, and except for remedies available to us under our agreements with such third parties, we cannot control whether or not such third parties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we may incur additional and unexpected costs related to such failures,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53"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Further, while our reliance on these third parties for research and development activities will reduce our control over these activities, we will not be relieved of our responsibilities for ensuring that each of our studies and trials is conducted in accordance with the applicable protocol, legal, regulatory and scientific standards.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MHRA, EMA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complies with GCP regulations. In addition, our clinical trials must be conducted with products produced under cGMP conditions. Our failure to comply with these regulations, or the failure of any CDMO that we may use in the future for clinical trials to so comply, may require us to repeat clinical trials, which would delay the regulatory approval process.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NGN-401 or any other product candidates.</w:t>
      </w:r>
    </w:p>
    <w:p>
      <w:pPr>
        <w:spacing w:after="0" w:line="14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We currently store drug product for clinical trial sites in the United States, and currently rely on and expect in the future to rely on third parties to distribute product supplies for our clinical trials, as well as to store and distribute supply for clinical trial sites outside of the United States. Any performance failure on the part of us or our distributors could result in an unexpected increase in costs to us, delay clinical development or marketing approval of our product candidates or commercialization of our products, if approved, producing additional losses and depriving us of potential revenue.</w:t>
      </w:r>
    </w:p>
    <w:p>
      <w:pPr>
        <w:spacing w:after="0" w:line="133"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Our operations and financial condition also may be negatively impacted as a result of delays or increased costs arising from trade restrictions, tariffs or other extraordinary taxes, and other foreign regulatory requirements affecting our collaborators. We currently rely to some degree on foreign CROs, and may need to rely on foreign CROs and CDMOs in the future. We or the foreign CROs or CDMOs we may work with may be subject to U.S. legislation, including the BIOSECURE Act and related implementation timelines, sanctions, trade restrictions, increased taxes or tariffs and other foreign regulatory requirements which could increase the cost or reduce the supply of certain materials we use, delay the procurement or supply of such material or disrupt our supply chain for certain raw materials or medical devices necessary for our clinical trial. For example, following the significant tariffs imposed by the United States federal government in 2025, continued and expanding restrictions on goods, including biologically derived substances, manufactured or imported from China, have restricted companies’ ability to work with certain Chinese biotechnology companies or other foreign counterparties. To the extent these or future tariffs are applicable to the material we may import from China and other countries or if we are not able to secure supply of our product candidates as a result of applicable legislation, our business and financial condition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Operations</w:t>
      </w:r>
    </w:p>
    <w:p>
      <w:pPr>
        <w:spacing w:after="0" w:line="21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In order to successfully implement our plans and strategies, we will need to grow the size of our organization and we may experience difficulties in managing this growth.</w:t>
      </w:r>
    </w:p>
    <w:p>
      <w:pPr>
        <w:spacing w:after="0" w:line="10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Over time, we expect to experience significant growth in the number of our employees and the scope of our operations, particularly in the areas of preclinical and clinical biological product development, technical operations, clinical operations, regulatory affairs, manufacturing and, potentially, sales, marketing and distribution. To manage our anticipated future growth, we must continue to implement and improve our managerial, operational and financial personnel and systems, expand our facilities and recruit and train additional qualified personnel. Due to our limited financial resources and the limited experience of our management team working together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107"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Our ability to compete in the highly competitive biotechnology and pharmaceutical industries depends upon our ability to attract and retain highly qualified managerial, scientific and medical personnel. We are highly dependent on our managerial, scientific and medical personnel, including our Founder and Chief Executive Officer, President and Chief Financial Officer, Chief Medical Officer, Chief Scientific Officer, Chief Commercial Officer and Senior Vice President of Technical Operations, as well as other key members of our leadership team. Our executive officers and other key personnel may terminate their employment with us at any time. We do not maintain “key person” insurance for any of our executives or other employees.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personnel may be difficult and may take an extended period of time. Failure to attracting and retaining qualified personnel could materially and adversely affect our business, financial condition and results of operations. We could in the future have difficulty attracting and retaining experienced personnel and may be required to expend significant financial resources on our employee recruitment and retention efforts.</w:t>
      </w:r>
    </w:p>
    <w:p>
      <w:pPr>
        <w:spacing w:after="0" w:line="170"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future growth may depend, in part, on our ability to operate in foreign markets, where we would be subject to additional regulatory burdens and other risks and uncertainties.</w:t>
      </w:r>
    </w:p>
    <w:p>
      <w:pPr>
        <w:spacing w:after="0" w:line="120"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Our future growth may depend, in part, on our ability to develop and commercialize NGN-401 or other product candidates in foreign markets for which we may rely on collaborations with third parties. Recent and ongoing changes in the United States trade policy with foreign countries, including the continued uncertainty surrounding U.S. tariffs and potential retaliatory measures by foreign governments, may disrupt the global supply chain for biopharmaceutical products. In September 2025, the United States announced plans to impose up to 100% tariffs on imported branded or patented pharmaceuticals, subject to certain exceptions (the “Pharmaceutical Tariffs”). If the Pharmaceutical Tariffs are implemented, we may face increased costs and administrative burdens. While certain jurisdictions such as the European Union, Japan, and the United Kingdom have secured exemptions or capped rates (typically 15% or lower) through bilateral agreements, other key manufacturing hubs—including China and India— may be subject to higher duties unless specific domestic manufacturing or pricing criteria are met. These tariffs may apply to many active pharmaceutical ingredients and bulk drug products, including those intended for clinical use, which could increase the costs of materials for our clinical trials. The U.S. Supreme Court ruled in February 2026 that certain tariffs imposed by the U.S. federal government under the International Emergency Economic Powers Act exceeded presidential authority and therefore are invalid. However, tariffs imposed under different statutes (including the Pharmaceutical Tariffs, if implemented) were not directly impacted by the decision and therefore remain in place.</w:t>
      </w:r>
    </w:p>
    <w:p>
      <w:pPr>
        <w:spacing w:after="0" w:line="143"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We are not permitted to market or promote any product candidates before we receive regulatory approval from the applicable foreign regulatory authority, and may never receive such regulatory approval for any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NGN-401 or other product candidates, and we cannot predict success in these jurisdictions. If we fail to comply with the regulatory requirements in international markets or to receive applicable marketing approvals, our target market will be reduced and our ability to realize the full market potential of NGN-401 or other product candidates will be harmed and our business will be adversely affected. Moreover, even if we obtain approval of NGN-401 or other product candidates and ultimately commercialize such product candidates in foreign markets, we would be subject to the risks and uncertainties of operating in such foreign markets, including the burden of complying with complex and changing foreign regulatory, tax, accounting and legal requirements and reduced protection of intellectual property rights in some foreign countries.</w:t>
      </w:r>
    </w:p>
    <w:p>
      <w:pPr>
        <w:spacing w:after="0" w:line="173"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employees, independent contractors, consultants, commercial collaborators, principal investigators, CROs, CDMOs, suppliers and vendors may engage in misconduct or other improper activities, including noncompliance with regulatory standards and requirements.</w:t>
      </w:r>
    </w:p>
    <w:p>
      <w:pPr>
        <w:spacing w:after="0" w:line="10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We are exposed to the risk that our employees, independent contractors, consultants, commercial collaborators, principal investigators, CROs, CDMOs, suppliers and vendors acting for or on our behalf may engage in misconduct or other improper activities.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w:t>
      </w: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1" w:name="page62"/>
    <w:bookmarkEnd w:id="6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Our systems, or those of any of our CROs, CDMOs, manufacturers, other contractors, third party service providers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129"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Despite the implementation of security measures in an effort to protect systems that store our information, given the size and complexity of such systems and the increasing amounts of information maintained on our internal information technology systems and those of our third-party CROs, CDMOs, other contractors (including sites performing our clinical trials), third-party service providers and supply chain companies, consultants and other partners,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which may compromise our system infrastructure or lead to the loss, destruction, alteration or dissemination of, or damage to, our data. From time to time, we are subject to business email compromise attack attempts. In August 2023, we discovered a business email compromise attack that resulted in the misappropriation of approximately $0.9 million. While we have implemented remedial measures in response to this incident and recovered $0.8 million of those losses through insurance claims, we cannot guarantee that such measures will prevent additional related, as well as unrelated incidents, or that we will be able to defend against or successfully remediate any such attacks that may occur in the future. If a material system failure, accident or security breach were to occur and cause interruptions in our operations or the operations of third-party collaborators, service providers, contractors and consultants, it could result in a material disruption of our development programs and significant reputational, financial, legal, regulatory, business or operational harm.</w:t>
      </w:r>
    </w:p>
    <w:p>
      <w:pPr>
        <w:spacing w:after="0" w:line="151"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Further, since we sponsor clinical trials, any breach that compromises patient data and identities causing a breach of privacy could have significant adverse consequences on our business. For example, the loss of clinical trial data from completed or future clinical trials could affect trust in us, negatively impacting our ability to recruit for future clinical trials, result in delays in our regulatory approval efforts and significantly increase our costs to recover or reproduce the data. To the extent that any disruption or security breach were to result in a loss, destruction, unavailability, alteration or dissemination of, or damage to, our data or applications, or inappropriate disclosure of confidential proprietary information, or for it to be believed or reported that any of these occurred, we could incur liability and reputational damage and the development and commercialization of NGN-401 or other product candidates could be delayed.</w:t>
      </w:r>
    </w:p>
    <w:p>
      <w:pPr>
        <w:spacing w:after="0" w:line="135"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As our employees work remotely and use network connections, computers, and devices outside of our premises or network, including working at home, while in transit and in public locations, there are risks to our information technology systems and data. Additionally, business transactions (such as acquisitions or integrations) could expose us to additional cybersecurity risks and vulnerabilities, as our systems could be negatively affected by vulnerabilities present in acquired or integrated entities’ systems and technologies.</w:t>
      </w:r>
    </w:p>
    <w:p>
      <w:pPr>
        <w:spacing w:after="0" w:line="133"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We may be unable in the future to detect vulnerabilities in our information technology systems because such threats and techniques change frequently, are often sophisticated in nature, and may not be detected until after a security incident has occurred. Further, we may experience delays in developing and deploying remedial measures designed to address any such identified vulnerabilities. Applicable data privacy and security obligations may require us to notify relevant stakeholders, patients or other individuals, regulators or, in certain circumstances, the media of security incidents. Such disclosures are costly, and the disclosure or the failure to comply with such requirements could lead to adverse consequences, including damage to our reputation.</w:t>
      </w:r>
    </w:p>
    <w:p>
      <w:pPr>
        <w:spacing w:after="0" w:line="14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rely on third-party service providers and technologies to operate critical business systems, including to process sensitive information in a variety of contexts.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as a result. While we may be entitled to damages if our third-party service providers fail to satisfy their privacy or security-related obligations to us, any award may be insufficient to cover our monetary, reputational and other damages, or we may be unable to recover such award. In addition, supply-chain attacks have increased in frequency and severity, and we cannot guarantee that third parties’ infrastructure in our supply chain or our third-party partners’ supply chains have not been and will not be compromised.</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2" w:name="page63"/>
    <w:bookmarkEnd w:id="6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If we (or a third party upon whom we rely) experiences a security incident or is perceived to have experienced a security incident, we may experience adverse consequences, such as government enforcement actions (for example, investigations, fines, penalties, audits, and inspections); additional reporting requirements and/or oversight; restrictions on processing personal information (including sensitive data); litigation (including class claims); indemnification obligations; negative publicity; reputational harm; monetary fund diversions; interruptions in our operations (including availability of data); increased investigation and compliance costs; financial loss; and other similar harms. Security incidents and attendant consequences may cause our stakeholders (including investors and potential customers) to stop supporting our business, deter new customers from our products, deter patients from participating in clinical trials and negatively impact our ability to grow and operate our business.</w:t>
      </w:r>
    </w:p>
    <w:p>
      <w:pPr>
        <w:spacing w:after="0" w:line="153"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or from disruptions in, or failure or security breach of, our systems or third-party systems where information important to our business operations or commercial development is stored, or that such coverage will continue to be available on commercially reasonable terms or at all, or that such coverage will pay future claims.</w:t>
      </w:r>
    </w:p>
    <w:p>
      <w:pPr>
        <w:spacing w:after="0" w:line="169"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laws, regulations and standards, and contractual obligations relating to privacy, data protection, and data security. The actual or perceived failure to comply with such obligations could lead to government enforcement actions (which could include civil or criminal penalties), fines and sanctions, private litigation, injunctive restrictions on data processing and/or adverse publicity and could negatively affect our operating results and business.</w:t>
      </w:r>
    </w:p>
    <w:p>
      <w:pPr>
        <w:spacing w:after="0" w:line="129"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and third parties with whom we work, are or may become subject to numerous domestic and foreign laws, regulations, and standards relating to privacy, data protection, and data security, the scope of which are changing, subject to differing applications and interpretations, and may be inconsistent among countries, or conflict with other rules. For example, the BIOSECURE Act, enacted in December 2025, restricts the ability of federal agencies and their contractors to work with designated “biotechnology companies of concern.” The implementation of this Act, including the forthcoming publication of a comprehensive list of restricted entities by the Office of Management and Budget, may require us to terminate or transition existing relationships with certain third-party service providers, which could disrupt our data processing capabilities or clinical trial operations. We are or may become subject to the terms of contractual obligations related to privacy, data protection, and data security. Our obligations continue to change and expand as our business grows, particularly with the proliferation of state-level comprehensive privacy laws in the U.S. The actual or perceived failure by us or third parties related to us to comply with such laws, regulations and obligations could increase our compliance and operational costs, expose us to regulatory scrutiny, actions, fines and penalties, result in reputational harm, lead to a loss of customers, result in litigation and liability, subject us to injunctive restrictions on data processing, adversely impact our ability to appropriately manage third parties with whom we work and otherwise cause a material adverse effect on our business, financial condition, and results of operations. See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Regulation—Data Privacy and Security” and “—Other Regulatory Matters</w:t>
      </w:r>
      <w:r>
        <w:rPr>
          <w:rFonts w:ascii="Times New Roman" w:cs="Times New Roman" w:eastAsia="Times New Roman" w:hAnsi="Times New Roman"/>
          <w:sz w:val="17"/>
          <w:szCs w:val="17"/>
          <w:color w:val="auto"/>
        </w:rPr>
        <w:t>” in our Annual Report on Form 10-K for a more detailed description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laws that may affect our ability to operate.</w:t>
      </w:r>
    </w:p>
    <w:p>
      <w:pPr>
        <w:spacing w:after="0" w:line="171"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0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materials. 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3" w:name="page64"/>
    <w:bookmarkEnd w:id="6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utilize our net operating loss carryforwards and certain other tax attributes may be limited.</w:t>
      </w:r>
    </w:p>
    <w:p>
      <w:pPr>
        <w:spacing w:after="0" w:line="184"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As of December 31, 2025, we had net operating loss (“NOL”) carryforwards for federal and state income tax purposes of $372.2 million and $43.5 million, respectively. The federal NOLs will not be subject to expiration and can be carried forward indefinitely; however, they are limited to a deduction to 80% of annual taxable income. The state NOLs begin to expire in 2029. To the extent that our taxable income exceeds any current year operating losses, we plan to use our carryforwards to offset income that would otherwise be taxable. Also, for state income tax purposes, the extent to which states will conform to the federal laws is uncertain and there may be periods during which the use of NOL carryforwards are suspended or otherwise limited, which could accelerate or permanently increase state taxes owed. In addition, under Section 382 of the Code, changes in our ownership may limit the amount of our NOL carryforwards and tax credit carryforwards that could be utilized annually to offset our future taxable income, if any. This limitation would generally apply in the event of a cumulative change in ownership of more than 50% (as measured by value) among a stockholder or one or more groups of stockholders who own at least 5% of our stock within a three-year period. We have not performed an analysis to determine whether there has been an ownership change pursuant to Section 382. Any such limitation may significantly reduce our ability to utilize our NOL carryforwards and tax credit carryforwards before they expire. Any such limitation, whether as the result of a public offering, private placements, sales of our common stock by our existing stockholders or additional sales of our common stock by us, could have a material adverse effect on our results of operations in future years.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be subject to adverse legislative or regulatory tax changes that could negatively impact our financial condition.</w:t>
      </w:r>
    </w:p>
    <w:p>
      <w:pPr>
        <w:spacing w:after="0" w:line="19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The rules governing U.S. federal, state and local income taxation are constantly under review and modification by persons involved in the legislative process and by the Internal Revenue Service (“IRS”) and the U.S. Treasury Department. Changes to tax laws (which changes may have retroactive application) could adversely affect us or our stockholders. We assess the potential impact of various tax reform proposals and modifications to existing tax treaties in all jurisdictions where we have operations and employees to determine the potential effect on our business and any assumptions we have made and make about our future taxable income. We cannot predict whether any specific proposals will be enacted, the terms of any such proposals or what effect, if any, such proposals would have on our business if they were to be enacted.</w:t>
      </w:r>
    </w:p>
    <w:p>
      <w:pPr>
        <w:spacing w:after="0" w:line="135"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For example, the United States enacted the Inflation Reduction Act of 2022 (the “IRA”), which implements, among other changes, a 1% excise tax on certain stock buybacks. In addition, beginning in 2022, the Tax Cuts and Jobs Act eliminated the option to deduct research and development expenditures and requires taxpayers to amortize them generally over five years for research activities conducted in the United States and over 15 years for research activities conducted outside the United States. On July 4, 2025, the U.S. Congress enacted the One Big Beautiful Bill Act (“OBBBA”), which includes a provision restoring the immediate deductibility of domestic research and development expenditures. While we do not expect any material impact of this change to our tax provision for existing research and development costs, as we are electing to continue to amortize our capitalized research and development expenses prior to 2025 using the same accounting treatment previously used as allowed under the OBBBA, future research and development expenses will be treated as immediately deductible. However, we have no assurance as to whether, when and how this provision may be subject to further amendment or repeal. Any such changes, or other similar changes, may adversely affect our effective tax rate, results of operation and financial condition.</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acquire businesses or products, or form strategic alliances, in the future, and may not realize the benefits of such acquisitions.</w:t>
      </w:r>
    </w:p>
    <w:p>
      <w:pPr>
        <w:spacing w:after="0" w:line="184"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 candidates or products resulting from a strategic alliance or acquisition that delay or prevent us from realizing their expected benefits or enhancing our business. There is no assurance that, following any such acquisition, we will achieve the synergies expected in order to justify the transaction, which could result in a material adverse effect on our business and prospects.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4" w:name="page65"/>
    <w:bookmarkEnd w:id="6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maintain our cash at financial institutions, at times in balances that exceed federally-insured limits. The failure of financial institutions could adversely affect our ability to pay our operational expenses or make other payments.</w:t>
      </w:r>
    </w:p>
    <w:p>
      <w:pPr>
        <w:spacing w:after="0" w:line="107"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Our cash held in non-interest-bearing and interest-bearing accounts at financial institutions can at times exceed the Federal Deposit Insurance Corporation (“FDIC”) insurance limits. If such banking institutions were to fail, we could lose all or a portion of those amounts held in excess of such insurance limitations. Any material loss that we may experience in the future or inability for a material time period to access our cash and cash equivalents could have an adverse effect on our ability to pay our operational expenses or make other payments, which could adversely affect our business.</w:t>
      </w:r>
    </w:p>
    <w:p>
      <w:pPr>
        <w:spacing w:after="0" w:line="165" w:lineRule="exact"/>
        <w:rPr>
          <w:sz w:val="20"/>
          <w:szCs w:val="20"/>
          <w:color w:val="auto"/>
        </w:rPr>
      </w:pPr>
    </w:p>
    <w:p>
      <w:pPr>
        <w:jc w:val="both"/>
        <w:ind w:firstLine="30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At the end of August 2023, we identified a material weakness in our internal control over financial reporting and may identify additional material weaknesses in the future that may cause us to fail to meet our reporting obligations or result in material misstatements of our financial statements. If our internal control over financial reporting or our disclosure controls and procedures are not effective, we may not be able to accurately report our financial results, prevent fraud or file our periodic reports in a timely manner, which may cause investors to lose confidence in our reported financial information and may lead to a decline in our share price.</w:t>
      </w:r>
    </w:p>
    <w:p>
      <w:pPr>
        <w:spacing w:after="0" w:line="14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Our internal controls related to the cash disbursements process were not adequately designed to identify unauthorized payment requests, resulting in the identification of a material weakness. Specifically, at the end of August 2023, we discovered that we were subject to a business email compromise attack by a third party. This deficiency in our controls resulted in the diversion of payments to fraudulent bank accounts.</w:t>
      </w:r>
    </w:p>
    <w:p>
      <w:pPr>
        <w:spacing w:after="0" w:line="127"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determined that certain internal controls required for safeguarding our cash assets were not properly designed due to insufficient specificity regarding our policies and procedures surrounding supplier banking information changes, not identifying segregation of duties, and insufficient training on exercising professional skepticism. We therefore implemented steps to remediate this control deficiency, including increasing communication of and training around our controls relating to changes made to information, emphasizing security awareness and the importance of professional skepticism and designing a process to review supplier information changes prior to release of payments. While our management determined based on the assessment of internal control over financial reporting that as of December 31, 2023, this material weakness had been remediated, there can be no assurance that the remediation plans we implemented relating to this business email compromise attack will be successful in preventing a repeat of that attack or that we will be able to avoid potential future material weaknesses. If we are unable to successfully remediate existing or any future material weakness in our internal control over financial reporting, or if we identify any additional material weaknesses, the accuracy and timing of our financial reporting may be adversely affected, we may be unable to maintain compliance with securities law and applicable stock exchange listing requirements regarding timely filing of periodic reports, investors may lose confidence in our financial reporting, and our stock price may decline as a result. We also could become subject to investigations by Nasdaq, the SEC or other regulatory authorities.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Intellectual Property</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ability to protect our patents and other proprietary rights is uncertain, exposing us to the possible loss of competitive advantage.</w:t>
      </w:r>
    </w:p>
    <w:p>
      <w:pPr>
        <w:spacing w:after="0" w:line="184"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rely and expect to continue to rely upon a combination of patents, trademarks, trade secret protection and confidentiality agreements to protect the intellectual property related to our product candidates and technologies and to prevent third parties from unfairly competing with us. Our success depends in large part on our ability to obtain and maintain patent protection for platform technologies, including our EXACT transgene regulation platform, product candidates and their uses, as well as the ability to operate without infringing on or violating the proprietary rights of others. As of March 31, 2026, we license 30 patent applications, including U.S. patent applications, international patent applications under the Patent Cooperation Treaty or otherwise, and expect to continue to file patent applications in the United States and abroad related to discoveries and technologies that are important to our business. However, we may not be able to protect our intellectual property rights throughout the world and the legal systems in certain countries may not favor enforcement or protection of patents, trade secrets and other intellectual property. Filing, prosecuting and defending patents on product candidates worldwide would be prohibitively expensive and our intellectual property rights in some foreign jurisdictions may be less extensive than those in the United States. As such, we do not have patents in all countries or all major markets and may not be able to obtain patents in all jurisdictions even if we apply for them. Competitors may operate in countries where we do not have patent protection and could then freely use our technologies and discoveries in such countries to the extent such technologies and discoveries are publicly known or disclosed in countries where patent protection has not been requested. In addition, competitors may be able to design around our patents to create technologies that directly compete with ours without infringing our intellectual property.</w:t>
      </w:r>
    </w:p>
    <w:p>
      <w:pPr>
        <w:spacing w:after="0" w:line="200" w:lineRule="exact"/>
        <w:rPr>
          <w:sz w:val="20"/>
          <w:szCs w:val="20"/>
          <w:color w:val="auto"/>
        </w:rPr>
      </w:pPr>
    </w:p>
    <w:p>
      <w:pPr>
        <w:spacing w:after="0" w:line="33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5" w:name="page66"/>
    <w:bookmarkEnd w:id="6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Our intellectual property portfolio is at an early stage. As of March 31, 2026, our licensed intellectual property only includes four issued patents, all of which are related to our NGN-101 program which we are no longer actively pursuing. Our pending and future patent applications may not result in patents being issued. Any issued patents may not afford sufficient protection of our product candidates or their intended uses against competitors, nor can there be any assurance that the patents issued will not be infringed, designed around, invalidated by third parties, or effectively prevent others from commercializing competitive technologies, products or product candidates. Even if these patents are granted, they may be difficult to enforce. Further, any issued patents that may be licensed or owned covering our product candidates could be narrowed or found invalid or unenforceable if challenged in court or before administrative bodies in the United States or abroad, including the United States Patent and Trademark Office (“USPTO”). Further, if we encounter delays in any clinical trials or delays in obtaining regulatory approval, the period of time during which we could market product candidates under patent protection would be reduced. Thus, the patents that we may own or license may not afford any meaningful competitive advantage.</w:t>
      </w:r>
    </w:p>
    <w:p>
      <w:pPr>
        <w:spacing w:after="0" w:line="153"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product candidates, we may also rely on trade secrets, including unpatented know-how, technology and other proprietary information, to maintain our competitive position. Any disclosure, either intentional or unintentional, by our employees, the employees of third parties with whom we share facilities or third-party consultants and vendors that we engage to perform researches,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the market. In order to protect our proprietary technology and processes, we rely in part on confidentiality agreements with collaborators, employees, consultants, outside scientific collaborators and sponsored researchers and other advisors. These agreements may not effectively prevent disclosure of confidential information and may not provide an adequate remedy in the event of unauthorized disclosure of confidential information. We may need to share our proprietary information, including trade secrets, with future business partners, collaborators, contractors and others located in countries at heightened risk of theft of trade secrets, including through direct intrusion by private parties or foreign actors and those affiliated with or controlled by state actors. In addition, while we undertake efforts to protect our trade secrets and other confidential information from disclosure, others may independently discover trade secrets and proprietary information, and in such cases, we may not be able to assert any trade secret rights against such party. Costly and time-consuming litigation could be necessary to enforce and determine the scope of our proprietary rights and failure to obtain or maintain trade secret protection could adversely affect our competitive business position.</w:t>
      </w:r>
    </w:p>
    <w:p>
      <w:pPr>
        <w:spacing w:after="0" w:line="138"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Lastly, if our trademarks and trade names are not registered or adequately protected, then we may not be able to build name recognition in markets of interest and our business may be adversely affected.</w:t>
      </w:r>
    </w:p>
    <w:p>
      <w:pPr>
        <w:spacing w:after="0" w:line="1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not be successful in obtaining or maintaining necessary rights to product candidates through acquisitions and in-licenses.</w:t>
      </w:r>
    </w:p>
    <w:p>
      <w:pPr>
        <w:spacing w:after="0" w:line="184"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Because our development programs require and may in the future require the use of proprietary rights held by third parties, the growth of our business may depend in part on our ability to acquire, in-license, or use these third-party proprietary rights. We may be unable to acquire or in-license any compositions, methods of use, processes or other third-party intellectual property rights from third parties that we identify as necessary for product candidates.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investment or at all. If we are unable to successfully obtain rights to required third-party intellectual property rights or maintain the existing intellectual property rights we have, we may have to abandon development of the relevant product candidate, which could have a material adverse effect on our business, financial condition, results of operations, and prospects.</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6" w:name="page67"/>
    <w:bookmarkEnd w:id="6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While we will normally seek to obtain the right to control prosecution, maintenance and enforcement of the patents relating to a product candidate, there may be times when the filing and prosecution activities for patents and patent applications relating to a product candidate are controlled by future licensors or collaboration partners. For example, we currently license several patent families from the University of Edinburgh covering the EXACT transgene regulation platform, as well as the NGN-401 product candidate and its uses. If any of such licensors or collaboration partners fail to prosecute, maintain and enforce such patents and patent applications in a manner consistent with the best interests of our business, including by payment of all applicable fees for patents covering a product candidate, we could lose rights to the intellectual property or exclusivity with respect to those rights, our ability to develop and commercialize such candidates may be adversely affected and we may not be able to prevent competitors from making, using and selling competing products. In addition, even where we have the right to control patent prosecution of patents and patent applications which may be licensed to and from third parties, we may still be adversely affected or prejudiced by actions or inactions of licensees, future licensors and their counsel that took place prior to the date upon which we assumed control over patent prosecution.</w:t>
      </w:r>
    </w:p>
    <w:p>
      <w:pPr>
        <w:spacing w:after="0" w:line="150"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Our future licensors may rely on third-party consultants or collaborators or on funds from third parties such that future licensors are not the sole and exclusive owners of the patents we in-license. If other third parties have ownership rights to future in-licensed patents, they may be able to license such patents to our competitors, and the competitors could market competing products and technology. This could have a material adverse effect on our competitive position, business, financial conditions, results of operations, and prospects.</w:t>
      </w:r>
    </w:p>
    <w:p>
      <w:pPr>
        <w:spacing w:after="0" w:line="1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It is possible that we may be unable to obtain licenses at a reasonable cost or on reasonable terms, if at all. Even if we are able to obtain a license, it may be non-exclusive, thereby giving competitors access to the same technologies licensed to us. In that event, we may be required to expend significant time and resources to redesign our technology, product candidates, or the methods for manufacturing the same,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or manufacturing methods, our product candidates, or future methods or product candidates, resulting in either an injunction prohibiting manufacture or future sales, or, with respect to future sales, an obligation on our part to pay royalties and/or other forms of compensation to third parties, which could be significant.</w:t>
      </w:r>
    </w:p>
    <w:p>
      <w:pPr>
        <w:spacing w:after="0" w:line="13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Disputes may arise between us and our future licensors regarding intellectual property subject to a license agreement, including: the scope of rights granted under the license agreement and other interpretation-related issues; whether and to what extent to which our technology and processes infringe on intellectual property of the licensor that is not subject to the licensing agreement; our right to sublicense patents and other rights to third parties; our right to transfer or assign the license; the inventorship and ownership of inventions and know-how resulting from the joint creations or use of intellectual property by future licensors and us and/or our partners; and the priority date of an invention of patented technology.</w:t>
      </w:r>
    </w:p>
    <w:p>
      <w:pPr>
        <w:spacing w:after="0" w:line="169"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Certain of our current product candidates and research programs are licensed from or based upon licenses from a third party and are field limited to certain indications. If these license agreements are terminated or interpreted to narrow our rights, our ability to advance our current product candidates or develop new product candidates based on these technologies will be materially adversely affected.</w:t>
      </w:r>
    </w:p>
    <w:p>
      <w:pPr>
        <w:spacing w:after="0" w:line="138"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We depend on, and will continue to depend on, our current licenses with the University of Edinburgh, Virovek, Inc. (“Virovek”), Sigma-Aldrich Co. LLC (“Sigma”), and Leland Stanford Junior University (“Stanford”),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17" w:lineRule="exact"/>
        <w:rPr>
          <w:sz w:val="20"/>
          <w:szCs w:val="20"/>
          <w:color w:val="auto"/>
        </w:rPr>
      </w:pPr>
    </w:p>
    <w:p>
      <w:pPr>
        <w:ind w:left="920" w:hanging="453"/>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our rights to develop and market our current product candidates;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lose patent or trade secret protection for our current product candidates;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experience significant delays in the development or commercialization of our current product candidates;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be able to obtain any other licenses on acceptable terms, if at all; or</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liability for damages.</w:t>
      </w:r>
    </w:p>
    <w:p>
      <w:pPr>
        <w:spacing w:after="0" w:line="178" w:lineRule="exact"/>
        <w:rPr>
          <w:sz w:val="20"/>
          <w:szCs w:val="20"/>
          <w:color w:val="auto"/>
        </w:rPr>
      </w:pPr>
    </w:p>
    <w:p>
      <w:pPr>
        <w:ind w:firstLine="387"/>
        <w:spacing w:after="0" w:line="287" w:lineRule="auto"/>
        <w:rPr>
          <w:sz w:val="20"/>
          <w:szCs w:val="20"/>
          <w:color w:val="auto"/>
        </w:rPr>
      </w:pPr>
      <w:r>
        <w:rPr>
          <w:rFonts w:ascii="Times New Roman" w:cs="Times New Roman" w:eastAsia="Times New Roman" w:hAnsi="Times New Roman"/>
          <w:sz w:val="17"/>
          <w:szCs w:val="17"/>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7" w:name="page68"/>
    <w:bookmarkEnd w:id="6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If we experience any of the foregoing, it could have a materially adverse effect on our business and could force us to cease operations.</w:t>
      </w:r>
    </w:p>
    <w:p>
      <w:pPr>
        <w:spacing w:after="0" w:line="211"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20"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are party to license agreements with the University of Edinburgh, Virovek, Sigma and Stanford and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Despite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40"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If these licenses are terminated for any reason, or if the underlying patents fail to provide the intended exclusivity, we could lose significant rights and our ability to commercialize our current or future product candidates may be harmed,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Disputes may also arise between us and our licensors regarding intellectual property subject to a license agreement, including:</w:t>
      </w:r>
    </w:p>
    <w:p>
      <w:pPr>
        <w:spacing w:after="0" w:line="62" w:lineRule="exact"/>
        <w:rPr>
          <w:sz w:val="20"/>
          <w:szCs w:val="20"/>
          <w:color w:val="auto"/>
        </w:rPr>
      </w:pPr>
    </w:p>
    <w:p>
      <w:pPr>
        <w:ind w:left="920" w:hanging="453"/>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of rights granted under the license agreement and other interpretation-related issues;</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and the extent to which our technology and processes infringe, misappropriate or otherwise violate intellectual property rights of the licensor that is not subject to the licensing agreement;</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right to sublicense patent and other rights to third parties under collaborative development relationships;</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diligence obligations with respect to the use of the licensed technology in relation to the development and commercialization of our current or future product candidates, and what activities satisfy those diligence obligations;</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priority of invention of any patented technology; and</w:t>
      </w:r>
    </w:p>
    <w:p>
      <w:pPr>
        <w:spacing w:after="0" w:line="62" w:lineRule="exact"/>
        <w:rPr>
          <w:rFonts w:ascii="Times New Roman" w:cs="Times New Roman" w:eastAsia="Times New Roman" w:hAnsi="Times New Roman"/>
          <w:sz w:val="17"/>
          <w:szCs w:val="17"/>
          <w:color w:val="auto"/>
        </w:rPr>
      </w:pPr>
    </w:p>
    <w:p>
      <w:pPr>
        <w:ind w:left="940" w:hanging="473"/>
        <w:spacing w:after="0" w:line="287" w:lineRule="auto"/>
        <w:tabs>
          <w:tab w:leader="none" w:pos="9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ownership of inventions and know-how resulting from the joint creation or use of intellectual property by our current or future licensors and by us and our other partners.</w:t>
      </w:r>
    </w:p>
    <w:p>
      <w:pPr>
        <w:spacing w:after="0" w:line="125"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8" w:name="page69"/>
    <w:bookmarkEnd w:id="6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patent infringement claims or may need to file claims to protect our intellectual property, which could result in substantial costs, liability and diversion of resources, and prevent or delay us from commercializing potential products.</w:t>
      </w:r>
    </w:p>
    <w:p>
      <w:pPr>
        <w:spacing w:after="0" w:line="107" w:lineRule="exact"/>
        <w:rPr>
          <w:sz w:val="20"/>
          <w:szCs w:val="20"/>
          <w:color w:val="auto"/>
        </w:rPr>
      </w:pPr>
    </w:p>
    <w:p>
      <w:pPr>
        <w:jc w:val="both"/>
        <w:ind w:firstLine="387"/>
        <w:spacing w:after="0" w:line="259" w:lineRule="auto"/>
        <w:rPr>
          <w:sz w:val="20"/>
          <w:szCs w:val="20"/>
          <w:color w:val="auto"/>
        </w:rPr>
      </w:pPr>
      <w:r>
        <w:rPr>
          <w:rFonts w:ascii="Times New Roman" w:cs="Times New Roman" w:eastAsia="Times New Roman" w:hAnsi="Times New Roman"/>
          <w:sz w:val="17"/>
          <w:szCs w:val="17"/>
          <w:color w:val="auto"/>
        </w:rPr>
        <w:t>Because the intellectual property landscape in the biotechnology industry is rapidly evolving and interdisciplinary, it is difficult to conclusively assess our freedom to operate and guarantee that we can operate without infringing on or violating third party rights. If certain of our product candidates are ultimately granted regulatory approval, patent rights held by third parties, if found to be valid and enforceable, could be alleged to render one or more of such product candidates infringing. We cannot be certain that patents owned or licensed by us will not be challenged by others in the course of litigation. If a third party successfully brings a claim against us, we may be required to pay substantial damages, be forced to abandon any affected product candidate and/or seek a license from the patent holder. In addition, any uncertainties resulting from the initiation and continuation of any litigation could have a material adverse effect on our business.</w:t>
      </w:r>
    </w:p>
    <w:p>
      <w:pPr>
        <w:spacing w:after="0" w:line="359"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Competitors may infringe or otherwise violate our patents, trademarks, copyrights or other intellectual property. To counter infringement or other violations, we may be required to file claims, which can be expensive and time-consuming. Any such claims could provoke these parties to assert counterclaims against us, including claims alleging that our intellectual property, methods or products infringes their patents or other intellectual property rights. In addition, in a patent infringement proceeding, a court or administrative body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or administrative body may determine that the marks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received may not be commercially valuable.</w:t>
      </w:r>
    </w:p>
    <w:p>
      <w:pPr>
        <w:spacing w:after="0" w:line="140"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Further, we may be required to protect our patents through procedures created to attack the validity of a patent at the USPTO.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136"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If we are required to defend intellectual property actions brought by third parties, or if we sue to protect our own intellectual property rights or otherwise to protect our proprietary information and to prevent its disclosure, or if we are involved in other litigation, whether as a plaintiff or defendant, and whether or not successful, we may incur substantial legal expenses and the attention of our management and key personnel may be diverted from business operations. Further, some of our competitors may be able to sustain the costs of complex intellectual property litigation more effectively than we can because they have substantially greater resources.</w:t>
      </w:r>
    </w:p>
    <w:p>
      <w:pPr>
        <w:spacing w:after="0" w:line="149"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In addition, if our product candidates are found to infringe the intellectual property rights of third parties, these third parties may assert infringement claims against our future licensees and other parties with whom we have business relationships and we may be required to indemnify those parties for any damages they suffer as a result of these claims, which may require us to initiate or defend protracted and costly litigation on behalf of licensees and other parties regardless of the merits of such claims. If any of these claims succeed, we may be forced to pay damages on behalf of those parties or may be required to obtain licenses for the products they use, and may not be able to obtain such licenses on terms acceptable to us, if at all.</w:t>
      </w:r>
    </w:p>
    <w:p>
      <w:pPr>
        <w:spacing w:after="0" w:line="136"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9" w:name="page70"/>
    <w:bookmarkEnd w:id="6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claims that we have wrongfully hired an employee from a competitor or that employees, consultants or independent contractors have wrongfully used or disclosed confidential information of third parties.</w:t>
      </w:r>
    </w:p>
    <w:p>
      <w:pPr>
        <w:spacing w:after="0" w:line="10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As is common in the biotechnology industry, in addition to employees, we engage consultants to assist in the development of our product candidates. Many of these consultants, and many of our employees, were or may have been previously employed at, or may have previously provided or may be currently providing consulting services to, other biotechnology or pharmaceutical companies including our competitors or potential competitors. We could in the future be subject to claims that we or our employees or consultants working on our behalf have inadvertently or otherwise used or disclosed alleged trade secrets or other confidential information of former employers or competitors. Although we try to ensure that our employees and consultants do not use the intellectual property, proprietary information, know-how or trade secrets of others in their work for us, we may become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w:t>
      </w:r>
    </w:p>
    <w:p>
      <w:pPr>
        <w:spacing w:after="0" w:line="149"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We may litigate to defend ourselves against these claims, and even if we are successful, litigation could result in substantial costs and could be a distraction to management. If our defenses to these claims fail, in addition to requiring us to pay monetary damages, a court could prohibit us from using technologies or features that are essential to our product candidates, if such technologies or features are found to incorporate or be derived from the trade secrets or other proprietary information of the former employers. Moreover, any such litigation or the threat thereof may adversely affect our reputation, our ability to form strategic alliances or sublicense our rights to collaborators, engage with scientific advisors or hire employees or consultants, each of which would have an adverse effect on our business, operations and financial condition.</w:t>
      </w:r>
    </w:p>
    <w:p>
      <w:pPr>
        <w:spacing w:after="0" w:line="16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Changes to patent laws in the United States and other jurisdictions could diminish the value of patents in general, thereby impairing our ability to protect our products.</w:t>
      </w:r>
    </w:p>
    <w:p>
      <w:pPr>
        <w:spacing w:after="0" w:line="107"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Changes in either the patent laws or interpretation of patent laws in the United States, including patent reform legislation such as the Leahy-Smith America Invents Act (the “Leahy-Smith Act”), could increase the uncertainties and costs surrounding the prosecution of our owned and any future in-licensed patent applications and the maintenance, enforcement or defense of our owned and any future in-licensed issued patents. The Leahy-Smith Act includes a number of significant changes to U.S.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along with additional procedures to attack the validity of a patent at USPTO-administered post-grant proceedings, including post-grant review, inter partes review, and derivation proceedings. Assuming that other requirements for patentability are met, prior to March 16, 2013, in the United States, the first to invent the claimed invention was entitled to the patent, while outside the United States, the first to file a patent application was entitled to the patent. After March 16,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our operations and prospects.</w:t>
      </w:r>
    </w:p>
    <w:p>
      <w:pPr>
        <w:spacing w:after="0" w:line="138"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In addition, the patent positions of companies in the development and commercialization of biologics and pharmaceuticals are particularly uncertain. U.S. Supreme Court and U.S. Court of Appeals for the Federal Circuit rulings have narrowed the scope of patent protection available in certain circumstances and weakened the rights of patent owners in certain situations, including in the antibody arts.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w:t>
      </w:r>
    </w:p>
    <w:p>
      <w:pPr>
        <w:spacing w:after="0" w:line="147"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Geopolitical actions in the United States and in foreign countries could increase the uncertainties and costs surrounding the prosecution or maintenance of patent applications and the maintenance, enforcement or defense of issued patents. Accordingly, our competitive position may be impaired, and our business, financial condition, operations and prospects may be adversely affected.</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0" w:name="page71"/>
    <w:bookmarkEnd w:id="7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In addition, a European Unified Patent Court (“UPC”) came into force in June 2023. The UPC is a common patent court to hear patent infringement and revocation proceedings effective for member states of the EU. This could enable third parties to seek revocation of a European patent in a single proceeding at the UPC rather than through multiple proceedings in each of the jurisdictions in which the European patent is validated. We currently have three pending European applications, and if we obtain such patents and applications in the future, any such revocation and loss of patent protection could have a material adverse impact on our business and our ability to commercialize or license our technology and products. Moreover, the controlling laws and regulations of the UPC will develop over time, and may adversely affect our ability to enforce or defend the validity of any European patents obtained. We may decide to opt out from the UPC for any future European patent applications that we may file and any patents we may obtain. If certain formalities and requirements are not met, however, such European patents and patent applications could be challenged for non-compliance and brought under the jurisdiction of the UPC. We cannot be certain that future European patents and patent applications will avoid falling under the jurisdiction of the UPC, if we decide to opt out of the UPC.</w:t>
      </w:r>
    </w:p>
    <w:p>
      <w:pPr>
        <w:spacing w:after="0" w:line="173" w:lineRule="exact"/>
        <w:rPr>
          <w:sz w:val="20"/>
          <w:szCs w:val="20"/>
          <w:color w:val="auto"/>
        </w:rPr>
      </w:pPr>
    </w:p>
    <w:p>
      <w:pPr>
        <w:jc w:val="both"/>
        <w:ind w:firstLine="309"/>
        <w:spacing w:after="0" w:line="285"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patent protection depends on compliance with various procedural, document submissions, fee payment and other requirements imposed by governmental patent agencies, and our patent protection could be reduced or eliminated for non-compliance with these requirements.</w:t>
      </w:r>
    </w:p>
    <w:p>
      <w:pPr>
        <w:spacing w:after="0" w:line="341"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Periodic maintenance fees, renewal fees, annuities fees and various other governmental fees on patents and/or patent applications are due to be paid to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product candidates, our competitive position would be adversely affected.</w:t>
      </w:r>
    </w:p>
    <w:p>
      <w:pPr>
        <w:spacing w:after="0" w:line="169"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0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products.</w:t>
      </w:r>
    </w:p>
    <w:p>
      <w:pPr>
        <w:spacing w:after="0" w:line="13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pending applications or any future issued patents,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1" w:name="page72"/>
    <w:bookmarkEnd w:id="7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become subject to claims challenging the inventorship or ownership of our patents and other intellectual property.</w:t>
      </w:r>
    </w:p>
    <w:p>
      <w:pPr>
        <w:spacing w:after="0" w:line="184"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53"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Our current or future licensors may have relied on third-party consultants or collaborators or on funds from third parties, such as the U.S. government or academic institutions,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and technology. This could have a material adverse effect on our competitive position, business, financial conditions, operations, and prospects.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Patent terms may be inadequate to protect our competitive position on our product candidates for an adequate amount of time.</w:t>
      </w:r>
    </w:p>
    <w:p>
      <w:pPr>
        <w:spacing w:after="0" w:line="184"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product candidates might expire before or shortly after such product candidates are commercialized. As a result, our owned and future licensed patent portfolio may not provide us with sufficient rights to exclude others from commercializing products similar or identical to ours.</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2" w:name="page73"/>
    <w:bookmarkEnd w:id="7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Some intellectual property that we have in-licensed may have been discovered through government funded programs and thus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25"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Certain of the intellectual property rights we have licensed are generated through the use of U.S. government funding and are therefore subject to certain federal regulations. As a result, the U.S. government may have certain rights to intellectual property embodied in our current or future product candidates pursuant to the Bayh-Dole Act of 1980 (the “Bayh-Dole Act”) and implementing regulations. These U.S. government rights in certain inventions developed under a government-funded program include a non-exclusive, non-transferable, irrevocable worldwide license to use inventions for any governmental purpose. In addition, the U.S. government has the right to require our or our licensors’ to grant exclusive, partially exclusive, or non-exclusive licenses to any of these inventions to a third party if it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and fails to file an application to register the intellectual property within specified time limits. These time limits have recently been changed by regulation, and may change in the future.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manufacturers may limit our ability to contract with non-U.S. product manufacturers for products covered by such intellectual property. To the extent any of our current or future intellectual property is generated through the use of U.S. government funding, the provisions of the Bayh-Dole Act may similarly apply.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Government Regulation</w:t>
      </w:r>
    </w:p>
    <w:p>
      <w:pPr>
        <w:spacing w:after="0" w:line="215" w:lineRule="exact"/>
        <w:rPr>
          <w:sz w:val="20"/>
          <w:szCs w:val="20"/>
          <w:color w:val="auto"/>
        </w:rPr>
      </w:pPr>
    </w:p>
    <w:p>
      <w:pPr>
        <w:jc w:val="both"/>
        <w:ind w:firstLine="3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regulatory approval processes of the FDA and other comparable foreign regulatory authorities are lengthy, time-consuming and inherently unpredictable. If we are not able to obtain, or if there are delays in obtaining, required regulatory approvals for our product candidates, or if we determine that we are not willing or able to complete the regulatory approval process given the resources required to do so, we will not be able to commercialize, or will be delayed in commercializing, such product candidates, and our ability to generate revenue will be materially impaired.</w:t>
      </w:r>
    </w:p>
    <w:p>
      <w:pPr>
        <w:spacing w:after="0" w:line="142"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While our product candidate NGN-401 for Rett syndrome has been accepted into the FDA’s START program and received Breakthrough Therapy and RMAT designations from the FDA, which we expect together will allow us to have access to more frequent advice from FDA staff, intensive guidance on efficient drug development and eligibility for an Accelerated Approval pathway and Priority Review, participation in these programs is not a guarantee that our approval process with the FDA will be faster or that we will ultimately achieve approval of NGN-401 as an accepted therapy for Rett syndrome. We cannot commercialize product candidates in the United States without first obtaining regulatory approval from the FDA. In addition, we may determine that the resources required to complete the regulatory approval process are in excess of what we are able or willing to expend on a particular program. For example, in November 2024, we announced that we do not expect to move forward with the NGN-101 gene therapy program for CLN5 Batten disease. Given the rarity of the disease, continued investment in the program was predicated on an alignment on a streamlined registrational pathway with the FDA. To support a streamlined pathway, we submitted an RMAT application to the FDA. Despite our belief that we met the standard of preliminary clinical evidence required to obtain an RMAT designation, the RMAT application was denied. We are currently evaluating options for the program.</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3" w:name="page74"/>
    <w:bookmarkEnd w:id="7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Similarly, we cannot commercialize product candidates outside of the United States without obtaining regulatory approval from comparable foreign regulatory authorities. Before obtaining regulatory approvals for the commercial sale of our product candidates, including our most advanced product candidate, NGN-401, we must demonstrate through lengthy, complex and expensive preclinical and clinical trials that such product candidates are safe, pure and effective or potent for each targeted indication. Foreign regulators may have different requirements for clinical trial design that could increase our costs for developing our product candidates for use in other markets, or may limit our ability to seek approval in those markets.</w:t>
      </w:r>
    </w:p>
    <w:p>
      <w:pPr>
        <w:spacing w:after="0" w:line="149"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Securing regulatory approval also requires the submission of information about the biological product manufacturing process to, and inspection of manufacturing facilities by, the relevant regulatory authority. Further, a product candidate may not be effective or potent, may be only moderately effective or potent or may prove to have undesirable or unintended side effects, toxicities or other characteristics that may preclude its obtaining marketing approval. The FDA and comparable foreign regulatory authorities have substantial discretion in the approval process and may refuse to accept any application or may decide that our data are insufficient for approval and require additional preclinical, clinical or other data. A product candidate could be delayed in receiving, or fail to receive, regulatory approval for many reasons, including: the FDA or comparable foreign regulatory authorities may disagree with the design or implementation of our clinical trials; we may be unable to demonstrate to the satisfaction of the FDA or comparable foreign regulatory authorities that a product candidate is safe, pure, and effective or potent for its proposed indication; the results of clinical trials may not meet the level of statistical significance required by the FDA or comparable foreign regulatory authorities for approval; serious and unexpected product-related side effects may be experienced by participants in our clinical trials or by individuals using drugs or biological products similar to a product candidate; we may be unable to demonstrate that a candidate’s clinical and other benefits outweigh its safety risks; the FDA or comparable foreign regulatory authorities may disagree with our interpretation of data from preclinical studies or clinical trials; the data collected from clinical trials of a product candidate may not be acceptable or sufficient to support the submission of a BLA or other submission or to obtain regulatory approval in the United States or elsewhere, and we may be required to conduct additional clinical trials; the FDA or the applicable foreign regulatory authority may disagree regarding the formulation, labeling and/or the specifications of a product candidate; the FDA or comparable foreign regulatory authorities may fail to approve the manufacturing processes or facilities of third-party manufacturers with which we contract for clinical and commercial supplies; and the approval policies or regulations of the FDA or comparable foreign regulatory authorities may significantly change in a manner rendering our clinical data insufficient for approval.</w:t>
      </w:r>
    </w:p>
    <w:p>
      <w:pPr>
        <w:spacing w:after="0" w:line="351"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Of the large number of products in development, only a small percentage successfully complete the FDA or foreign regulatory approval processes and are commercialized. The lengthy approval process as well as the unpredictability of future clinical trial results may result in us failing to obtain regulatory approval to market NGN-401 or other product candidates, which would significantly harm our business, results of operations and prospects.</w:t>
      </w:r>
    </w:p>
    <w:p>
      <w:pPr>
        <w:spacing w:after="0" w:line="127"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If we were to obtain approval, regulatory authorities may approve any such product candidate for fewer or more limited indications than we request, including failing to approve the most commercially promising indications, may grant approval contingent on the performance of costly post-marketing clinical trials, or may approve a product candidate with a label that does not include the labeling claims necessary or desirable for the successful commercialization of that product candidate. If we are not able to obtain, or if there are delays in obtaining, required regulatory approvals for a product candidate, we will not be able to commercialize, or will be delayed in commercializing, such product candidate and our ability to generate revenue may be materially impaired. In addition, the FDA and foreign regulatory authorities may undergo leadership change, change their policies, issue additional regulations or revise existing regulations, or take other actions including significant reorganization within the agency which may impact our clinical development plans or prevent or delay approval of our product candidates under development on a timely basis. Such policy or regulatory changes could impose additional requirements upon us that could delay our ability to obtain approvals and increase the costs of compliance.</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4" w:name="page75"/>
    <w:bookmarkEnd w:id="7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Since the start of President Trump’s administration in 2025 (the “Trump Administration”), U.S. policy changes have been implemented at a rapid pace and additional change is likely. It is difficult to predict how executive actions that may be taken under the current administration may affect the FDA’s ability to exercise its regulatory authority. If any actions impose constraints on the FDA’s ability to engage in routine oversight and product review activities in the normal course, our business may be negatively impacted. Additionally, the Trump Administration or other parts of the federal government could adopt legislation, regulations or policies that adversely affect our business or create a more challenging and costly environment to pursue the development, approval and commercialization of our product candidates. Recent developments at the FDA include announcement of a plan to phase out animal testing for monoclonal antibodies and certain other drugs, the proposed rare disease evidence principles program to facilitate approval of drugs to treat rare diseases with very small patient populations with significant unmet medical need and with a known genetic defect that is the major driver of the pathophysiology, and the announcement of a new Commissioner’s National Priority Voucher program for companies supporting certain U.S. national health priorities and interests. To the extent our competitors are selected for this new voucher pilot program, or are otherwise able to participate in any of these initiatives intended to accelerate drug development and application review, and obtain faster approval than us, our competitive position may be harmed.</w:t>
      </w:r>
    </w:p>
    <w:p>
      <w:pPr>
        <w:spacing w:after="0" w:line="176"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Because gene therapy is novel and the regulatory landscape that governs any product candidates we may develop is rigorous, complex, uncertain and subject to change, we cannot predict the time and cost of obtaining regulatory approval, if received at all, for any product candidates we may develop.</w:t>
      </w:r>
    </w:p>
    <w:p>
      <w:pPr>
        <w:spacing w:after="0" w:line="120"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The regulatory requirements that will govern any novel gene therapy product candidates we develop are not entirely clear and are subject to change. Within the broader genetic medicine field, very few therapeutic products have received marketing authorization from the FDA or the EMA. Even with respect to more established products that fit into the categories of gene therapies or cell therapies, the regulatory landscape is still developing. Regulatory requirements governing gene therapy products and cell therapy products have changed frequently and will likely continue to change in the future. Moreover, there is substantial overlap in those responsible for review and regulation of existing gene therapy products and cell therapy products. For example, in the United States, the FDA has established the Office of Therapeutic Products within its Center for Biologics Evaluation and Research (“CBER”), as part of its reorganization of the Office of Tissues and Advanced Therapies, to consolidate the review of gene therapy and related products. In addition, the Cellular, Tissue and Gene Therapies Advisory Committee advises CBER on its review.</w:t>
      </w:r>
    </w:p>
    <w:p>
      <w:pPr>
        <w:spacing w:after="0" w:line="13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Our product candidates will need to meet safety, purity and efficacy or potency standards applicable to any new biologic under the regulatory framework administered by the FDA. In addition to FDA oversight and oversight by IRBs under guidelines promulgated by the National Institutes of Health (“NIH”) gene therapy clinical trials are also subject to review and oversight by an institutional biosafety committee (“IBC”), a local institutional committee that reviews and oversees research utilizing recombinant or synthetic nucleic acid molecules at that institution. The IBC assesses the safety of the research and identifies any potential risk to public health or the environment. While the NIH guidelines are not mandatory unless the research in question is being conducted at or sponsored by institutions receiving NIH funding of recombinant or synthetic nucleic acid molecule research, many companies and other institutions not otherwise subject to the NIH guidelines voluntarily follow them. Although the FDA decides whether individual gene therapy protocols may proceed, the review process and determinations of other reviewing bodies can impede or delay the initiation of a clinical trial, even if the FDA has reviewed the trial and approved its initiation.</w:t>
      </w:r>
    </w:p>
    <w:p>
      <w:pPr>
        <w:spacing w:after="0" w:line="13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Similar considerations apply in the EU. The EMA’s Committee for Advanced Therapies (“CAT”) is responsible for assessing the quality, safety, and efficacy of advanced-therapy medicinal products. Advanced-therapy medicinal products include gene therapy medicines, somatic-cell therapy medicines and tissue-engineered medicines. The role of the CAT is to prepare a draft opinion on an application for marketing authorization for a gene therapy medicinal candidate that is submitted to the EMA. In the EU, the development and evaluation of a gene therapy product must be considered in the context of the relevant EU legislation and guidelines. The EMA may issue new guidelines concerning the development and marketing authorization for gene therapy products and require that we comply with these new guidelines. As a result, the procedures and standards applied to gene therapy products and cell therapy products may be applied to any gene therapy product candidate we may develop, but that remains uncertain at this point.</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5" w:name="page76"/>
    <w:bookmarkEnd w:id="7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Adverse developments in preclinical studies or clinical trials conducted by others in the field of gene therapy and gene regulation products may cause the FDA, the EMA, and other regulatory authorities to revise the requirements for approval of any product candidates we may develop or limit the use of products utilizing gene regulation technologies, either of which could harm our business. In addition, the clinical trial requirements of the FDA, the EMA, and other regulatory authorities and the criteria these regulators use to determine the safety, purity and efficacy or potency of a product candidate vary substantially according to the type, complexity, novelty, and intended use and market of the potential products. Because of this complexity, even though our product candidate NGN-401 for Rett syndrome has been accepted into the FDA’s START program and the RMAT program, which we expect together will allow us to have access to more frequent advice from FDA staff, intensive guidance on efficient drug development and eligibility for an Accelerated Approval pathway and Priority Review, the regulatory approval process for product candidates such as those being developed by us can be more expensive and take longer than for other, better known, or more extensively studied pharmaceutical or other product candidates. Further, as we are developing novel potential treatments for diseases in which, in some cases, there is little clinical experience with potential new endpoints and methodologies, heightened risk that the FDA, the EMA or other regulatory authorities may not consider the clinical trial endpoints to provide clinically meaningful results, and the resulting clinical data and results may be more difficult to analyze. In addition, we may not be able to identify or develop appropriate animal disease models to enable or support planned clinical development. Any natural history studies that we may conduct or rely upon in our clinical development may not be accepted by the FDA, EMA or other regulatory authorities. Regulatory agencies administering existing or future regulations or legislation may not allow production and marketing of products utilizing gene regulation technology in a timely manner or under technically or commercially feasible conditions. In addition, regulatory action or private litigation could result in expenses, delays, or other impediments to our research programs or the commercialization of resulting products. Further, approvals by one regulatory agency may not be indicative of what other regulatory agencies may require for approval.</w:t>
      </w:r>
    </w:p>
    <w:p>
      <w:pPr>
        <w:spacing w:after="0" w:line="156"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The regulatory review committees and advisory groups described above and the new guidelines they promulgate may lengthen the regulatory review process, require us to perform additional preclinical studies or clinical trials, increase our development costs, lead to changes in regulatory positions and interpretations, delay or prevent approval and commercialization of these treatment candidates, or lead to significant post-approval limitations or restrictions. As we advance our research programs and develop future product candidates, we will be required to consult with these regulatory and advisory groups and to comply with applicable guidelines. If we fail to do so, we may be required to delay or discontinue development of any product candidates we identify and develop.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6" w:name="page77"/>
    <w:bookmarkEnd w:id="7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80" w:firstLine="309"/>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The FDA has recently required additional and in some cases more stringent clinical trial designs and clinical trial data for gene therapy product candidates, even where companies believed they had previously established alignment with the FDA on their trial designs. If the FDA were to change its position regarding elements of our clinical trial design or the clinical data required to support approval of our product candidates, we may face additional expenses or challenges in gaining approval of such products.</w:t>
      </w:r>
    </w:p>
    <w:p>
      <w:pPr>
        <w:spacing w:after="0" w:line="142"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From time to time, the FDA may provide written feedback on clinical trial design elements, including for instance an indication that it would be willing to consider a regulatory pathway based on limited clinical data, such as data from an early stage or single pivotal study, or based on data using historical or other controls. However, even if it has provided this guidance in writing, the FDA retains broad discretion to revise or withdraw such guidance with respect to any design elements of our clinical development plan at any time. Even if the FDA initially agrees that a particular data set or development plan could support a marketing application, the agency could later determine that additional or more comprehensive clinical evidence is required. Recently, the FDA has required certain gene therapy companies who are seeking BLA approval for product candidates to produce additional data with more stringent requirements than were included in the initial clinical trial design, including in some instances data that may require that company to conduct additional clinical trials. While we have recently achieved concordance with the FDA on our clinical trial designs for our Phase 3 Embolden trial of NGN-401, the continued disruptions and changes in leadership at the FDA create ongoing uncertainty about what evidentiary standards may be applied in the future, If we were to experience a change in the FDA’s position related to our trial design, especially with respect to our Embolden clinical trial, we expect such a change could delay or prevent approval, increase our development costs, and adversely affect our ability to commercialize our product candidates.</w:t>
      </w:r>
    </w:p>
    <w:p>
      <w:pPr>
        <w:spacing w:after="0" w:line="13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Disruptions at the FDA and other governmental agencies and regulatory authorities could negatively affect the review of our regulatory submissions or impact our ability to access the public markets, which could negatively impact our business.</w:t>
      </w:r>
    </w:p>
    <w:p>
      <w:pPr>
        <w:spacing w:after="0" w:line="107"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The ability of the FDA and other regulatory authorities to review and approve regulatory submissions can be affected by a variety of factors, including statutory, regulatory and policy changes, inadequate government budget funding levels, their ability to accept user fees, or a reduction in the FDA’s workforce and its ability to hire and retain key personnel, disruptions caused by government shutdowns and public health crises. There have been mass layoffs of federal government employees since the start of the Trump Administration in January 2025, the full impact of which remains unclear. Average review times at the agency have fluctuated as a result. In addition, government funding of the SEC and other government agencies on which our operations may rely, including those that fund research and development activities, is subject to the political process, which is inherently fluid and unpredictable. The Trump Administration has made and is expected to continue to make changes in the leadership of various U.S. federal regulatory agencies. For instance, the FDA recently announced the expected departure of the head of Center for Biologics Evaluation and Research (CBER) at the end of April 2026, which creates uncertainty regarding the future leadership of the division that oversees the development of gene therapy products. In addition, changes to U.S. federal government policy since January 2025 have led to, in some cases, legal challenges and uncertainty around the funding, functioning and policy priorities of the U.S. federal regulatory agencies, including the FDA.</w:t>
      </w:r>
    </w:p>
    <w:p>
      <w:pPr>
        <w:spacing w:after="0" w:line="150"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are unable to predict the extent to which the current U.S. federal administration may impose or seek to impose additional leadership or policy changes at the U.S. federal regulatory agencies responsible for regulating our business or changes to rules and policies impacting our operations. It is also unclear how executive actions or other potential actions by the Trump Administration or other parts of the federal government will impact the FDA or other regulatory authorities that oversee our business. Government proposals to reduce or eliminate budgetary deficits or limit federal agency personnel may include reduced allocations to the FDA and other related government agencies. These budgetary pressures may reduce the FDA’s ability to perform its responsibilities, potentially affecting our ability to progress development of our product candidates or obtain regulatory approval for our product candidates and could result in delays in our clinical trial timelines. Disruptions at the FDA and other agencies or comparable foreign regulatory authorities may also slow the time necessary for the review and approval of CTAs or MAAs, which would adversely affect our business. A significant reduction in the FDA’s workforce or the FDA’s budget, or any future prolonged government shutdown, could significantly impact the ability of the FDA to timely review and process our regulatory submissions or take other actions critical to the development, manufacturing or marketing of our most advanced product candidate, NGN-401, or other product candidates, if approved, which could have a material adverse effect on our business.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7" w:name="page78"/>
    <w:bookmarkEnd w:id="7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In October and November 2025, the U.S. federal government endured the longest government shutdown in U.S. history due to the failure of Congress to pass an appropriations budget for fiscal year 2026, and a subsequent partial government shutdown ensued in January and February of 2026. There can be no assurance that there will not be similar shutdowns of the federal government in the future. While there were some exemptions from these shutdowns with respect to certain aspects of the work carried out by the FDA, including essential safety oversight and ongoing reviews of certain existing applications where there was carryover funding, other work of the FDA during that time, such as acceptance of new applications, was suspended and the FDA workforce was reduced. These and similar events may impact the functioning of the FDA, including but not limited subsequent government shutdowns or global health concerns, and could prevent the FDA or other regulatory authorities from conducting their regular inspections, reviews or other regulatory activities, could significantly impact the ability of the FDA or other regulatory authorities to timely review and process our regulatory submissions, which could have a material adverse effect on our business. In addition, any future government shutdown could impact our ability to access the public markets and obtain necessary capital in order to properly capitalize and continue our operations.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not be able to meet requirements for the chemistry, manufacturing and control of our product candidates.</w:t>
      </w:r>
    </w:p>
    <w:p>
      <w:pPr>
        <w:spacing w:after="0" w:line="19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In order to receive approval of our products by the FDA and comparable foreign regulatory authorities, we must show that we and our contract manufacturing partners are able to characterize, control and manufacture our biological products safely and in accordance with regulatory requirements. This includes manufacturing the drug substance, developing an acceptable formulation, performing tests to adequately characterize the formulated product, documenting a repeatable manufacturing process, and demonstrating that our biological products meet stability requirements. Meeting these chemistry, manufacturing and control (“CMC”) requirements is a complex task that requires specialized expertise. If we are not able to meet the CMC requirements, we may not be successful in getting our products approved.</w:t>
      </w:r>
    </w:p>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intend to deliver our product candidates via a drug delivery device that will have its own regulatory, development, supply and other risks.</w:t>
      </w:r>
    </w:p>
    <w:p>
      <w:pPr>
        <w:spacing w:after="0" w:line="184"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intend to deliver our product candidates via a drug delivery device, such as a catheter or other delivery system. There may be unforeseen technical complications related to the development activities required to bring such a product to market, including primary container compatibility and/or dose volume requirements. We expect to use drug delivery devices authorized for marketing under clearances or approvals held by third parties. Our product candidates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also delay approval. In addition, some drug delivery devices are provided by single-source unaffiliated third-party companies. We may be dependent on the sustained cooperation and effort of those third-party companies both to supply the devices and, in some cases, to conduct the studies required for approval or other regulatory clearance of the devices. Even if approval is obtained, we may also be dependent on those third-party companies continuing to maintain such approvals or clearances once they have been received. Failure of third-party companies to supply the devices, to successfully complete studies on the devices in a timely manner, or to obtain or maintain required approvals or clearances of the devices could result in increased development costs, delays in or failure to obtain regulatory approval and delays in product candidates reaching the market or in gaining approval or clearance for expanded labels for new indications.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8" w:name="page79"/>
    <w:bookmarkEnd w:id="7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 the past and may in the future conduct clinical trials for our product candidates at sites outside the United States, and the FDA may not accept data from trials conducted in such locations.</w:t>
      </w:r>
    </w:p>
    <w:p>
      <w:pPr>
        <w:spacing w:after="0" w:line="107"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We conducted parts of our Phase 1/2 clinical trials for NGN-101 and NGN-401 outside of the United States, and may in the future conduct additional clinical trials for our products at sites outside of the United States, including in Australia, the UK, Europe or other foreign jurisdictions. For example, we enrolled patients in our Phase 1/2 clinical trials for NGN-401 in the United States, the UK and Australia. In cases where data from clinical trials conducted outside the United States are intended to serve as the sole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authorities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United States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 Even if the FDA accepts such data, it could require us to modify our planned clinical trials to receive clearance to initiate such trials in the United States or to continue such trials once initiated.</w:t>
      </w:r>
    </w:p>
    <w:p>
      <w:pPr>
        <w:spacing w:after="0" w:line="160"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Other risks inherent in conducting international clinical trials include: foreign regulatory requirements, differences in healthcare services, and differences in cultural customs that could restrict or limit our ability to conduct our clinical trials; administrative burdens of conducting clinical trials under multiple sets of foreign regulations; foreign exchange fluctuations; diminished protection of intellectual property in some countries; and political and economic risks relevant to foreign countries.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Our product candidates for which we intend to seek approval as biologics may face competition sooner than anticipated.</w:t>
      </w:r>
    </w:p>
    <w:p>
      <w:pPr>
        <w:spacing w:after="0" w:line="184"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 Care and Education Reconciliation Act (collectively, the “ACA”), includes a subtitle called the Biologics Price Competition and Innovation Act of 2009 (“BPCIA”), which created an abbreviated approval pathway for biological products that are biosimilar to or interchangeable with an FDA-licensed reference biological product. Under the BPCIA, an application for a highly similar or “biosimilar” product may not be submitted to the FDA until four years following the date that the reference product was first approved by the FDA. In addition, the approval of a biosimilar product may not be made effective by the FDA until 12 years from the date on which the reference product was first approved.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spacing w:after="0" w:line="34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Our investigational biological products, if approved, could be considered reference products entitled to 12-year exclusivity. However, there is a risk that this exclusivity could be shortened due to congressional action or otherwise, or that the FDA will not consider a product candidate to be reference products for competing products, potentially creating the opportunity for competition sooner than anticipated. Other aspects of the BPCIA, some of which may impact the BPCIA exclusivity provisions, have also been the subject of recent litigation. Moreover, the extent to which a biosimilar, once approved, will be substituted for any reference products in a way that is similar to traditional generic substitution for non-biological products is not yet clear, and will depend on a number of marketplace and regulatory factors that are still developing.</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79" w:name="page80"/>
    <w:bookmarkEnd w:id="7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Even if we receive regulatory approval of NGN-401 or other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125"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Any regulatory approvals that we may receive for NGN-401 or other product candidates will require the submission of reports to regulatory authorities and surveillance to monitor the safety, purity and efficacy or potency of such product candidates, may contain significant limitations related to use restrictions for specified age groups, warnings, precautions or contraindications, and may include burdensome post-approval study or risk management requirements. For example, the FDA may require a risk evaluation and mitigation strategy in order to approve a product candidate, which could entail requirements for a medication guide, physician training and communication plans or additional elements to ensure safe use, such as restricted distribution methods, patient registries and other risk minimization tools. In addition, if the FDA or comparable foreign regulatory authorities approve a product candidate, the products and the activities associated with their development and commercialization, including their design, testing, manufacture, safety, purity, efficacy or potency, recordkeeping, labeling, storage, approval, advertising, promotion, sale, distribution, import and export will be subject to comprehensive regulation by the FDA and other regulatory agencies in the United States and by comparable foreign regulatory authorities. These requirements include submissions of safety and other post-marketing information and reports, registration, as well as on-going compliance with current cGMPs and GCPs for any clinical trials that we conduct following approval. In addition, manufacturers of drug products and their facilities are subject to continual review and periodic, unannounced inspections by the FDA and other regulatory authorities for compliance with cGMPs.</w:t>
      </w:r>
    </w:p>
    <w:p>
      <w:pPr>
        <w:spacing w:after="0" w:line="154"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If we or a regulatory authority discovers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requiring the addition of labeling statements, such as a “black box” warning or a contraindication, requiring creation of a medication guide outlining the risk of such side effects for distribution to patients, withdrawal or suspension of existing approvals or licenses, refusal to approve pending applications or supplements, restrictions on our ability to conduct clinical trials, including full or partial clinical holds on ongoing or planned trials, restrictions on the manufacturing process, warning or untitled letters, civil and criminal penalties, injunctions, product seizures, detentions or import bans, voluntary or mandatory publicity requirements and imposition of restrictions on operations, including costly new manufacturing requirements. The occurrence of any event or penalty described above may inhibit our ability to commercialize NGN-401 or other product candidates and generate revenue and could require us to expend significant time and resources in response and could generate negative publicity.</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face difficulties from healthcare legislative reform measures.</w:t>
      </w:r>
    </w:p>
    <w:p>
      <w:pPr>
        <w:spacing w:after="0" w:line="184"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Existing regulatory policies may change, and additional government regulations may be enacted that could prevent, limit or delay regulatory approval of NGN-401 or other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See “</w:t>
      </w:r>
      <w:r>
        <w:rPr>
          <w:rFonts w:ascii="Times New Roman" w:cs="Times New Roman" w:eastAsia="Times New Roman" w:hAnsi="Times New Roman"/>
          <w:sz w:val="17"/>
          <w:szCs w:val="17"/>
          <w:i w:val="1"/>
          <w:iCs w:val="1"/>
          <w:color w:val="auto"/>
        </w:rPr>
        <w:t>Business—Government Regulation—Healthcare Reform</w:t>
      </w:r>
      <w:r>
        <w:rPr>
          <w:rFonts w:ascii="Times New Roman" w:cs="Times New Roman" w:eastAsia="Times New Roman" w:hAnsi="Times New Roman"/>
          <w:sz w:val="17"/>
          <w:szCs w:val="17"/>
          <w:color w:val="auto"/>
        </w:rPr>
        <w:t>” in our Annual Report on Form 10-K for a more detailed description of healthcare reforms measures that may prevent us from being able to generate revenue, attain profitability, or commercialize product candidates.</w:t>
      </w:r>
    </w:p>
    <w:p>
      <w:pPr>
        <w:spacing w:after="0" w:line="16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business operations and current and future arrangements with investigators, healthcare professionals, consultants, third-party payors, patient organizations and customers will be subject to applicable healthcare regulatory laws, which could expose us to penalties.</w:t>
      </w:r>
    </w:p>
    <w:p>
      <w:pPr>
        <w:spacing w:after="0" w:line="10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Our business operations and current and future arrangements with investigators, healthcare professionals, consultants, third-party payors, patient organizations and customers may expose us to broadly-applicable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See “</w:t>
      </w:r>
      <w:r>
        <w:rPr>
          <w:rFonts w:ascii="Times New Roman" w:cs="Times New Roman" w:eastAsia="Times New Roman" w:hAnsi="Times New Roman"/>
          <w:sz w:val="17"/>
          <w:szCs w:val="17"/>
          <w:i w:val="1"/>
          <w:iCs w:val="1"/>
          <w:color w:val="auto"/>
        </w:rPr>
        <w:t>Business—Government Regulation—Other Healthcare Laws and Compliance Requirements</w:t>
      </w:r>
      <w:r>
        <w:rPr>
          <w:rFonts w:ascii="Times New Roman" w:cs="Times New Roman" w:eastAsia="Times New Roman" w:hAnsi="Times New Roman"/>
          <w:sz w:val="17"/>
          <w:szCs w:val="17"/>
          <w:color w:val="auto"/>
        </w:rPr>
        <w:t>” in our Annual Report on Form 10-K for a more detailed description of the laws that may affect our ability to operate.</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0" w:name="page81"/>
    <w:bookmarkEnd w:id="8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Ensuring that our internal operations and future business arrangements with third parties comply with applicable healthcare laws and regulations will involve substantial costs. If our operations are found to be in violation of any of these laws or any other governmental laws and regulations that may apply to us, we may be subject to significant penalties, including civil, criminal and administrative penalties, damages, fines, exclusion from government-funded healthcare programs, integrity oversight and reporting obligations to resolve allegations of non-compliance, disgorgement, individual imprisonment, contractual damages, reputational harm, diminished profits and the curtailment or restructuring of our operations. Further, defending against any such actions can be costly and time-consuming and may require significant personnel resources. Therefore, even if we are successful in defending against any such actions that may be brought against us, our business may be impaired.</w:t>
      </w:r>
    </w:p>
    <w:p>
      <w:pPr>
        <w:spacing w:after="0" w:line="173"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Even if we are able to commercialize NGN-401 or other product candidates, due to unfavorable pricing regulations and/or third-party coverage and reimbursement policies, we may not be able to offer such products at competitive prices which would seriously harm our business.</w:t>
      </w:r>
    </w:p>
    <w:p>
      <w:pPr>
        <w:spacing w:after="0" w:line="120"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intend to seek approval to market NGN-401 and other product candidates in both the United States and in selected foreign jurisdictions. If we obtain approval in one or more foreign jurisdictions for such product candidates, we will be subject to rules and regulations in those jurisdictions. Our ability to successfully commercialize any product candidates that we may develop will depend in part on the extent to which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Government authorities and other third-party payors have attempted to control costs by limiting coverage and the amount of reimbursement for particular medications. These entities may create preferential access policies for a competitor’s product, including a branded or generic/biosimilar product, over our products in an attempt to reduce their costs, which may reduce our commercial opportunity. Additionally, if any of our product candidates are approved and we are found to have improperly promoted off-label uses of those programs, we may become subject to significant liability, which would materially adversely affect our business and financial condition. See “</w:t>
      </w:r>
      <w:r>
        <w:rPr>
          <w:rFonts w:ascii="Times New Roman" w:cs="Times New Roman" w:eastAsia="Times New Roman" w:hAnsi="Times New Roman"/>
          <w:sz w:val="17"/>
          <w:szCs w:val="17"/>
          <w:i w:val="1"/>
          <w:iCs w:val="1"/>
          <w:color w:val="auto"/>
        </w:rPr>
        <w:t>Business—Government Regulation—Coverage and Reimbursement” and “—Regulation in the European Union</w:t>
      </w:r>
      <w:r>
        <w:rPr>
          <w:rFonts w:ascii="Times New Roman" w:cs="Times New Roman" w:eastAsia="Times New Roman" w:hAnsi="Times New Roman"/>
          <w:sz w:val="17"/>
          <w:szCs w:val="17"/>
          <w:color w:val="auto"/>
        </w:rPr>
        <w:t>” in our Annual Report on Form 10-K for a more detailed description of the government regulations and third-party payor practices that may affect our ability to commercialize product candidates.</w:t>
      </w:r>
    </w:p>
    <w:p>
      <w:pPr>
        <w:spacing w:after="0" w:line="173"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are subject to U.S. and certain foreign export and import controls, sanctions, embargoes, anti-corruption laws, and anti-money laundering laws and regulations. We can face criminal liability and other serious consequences for violations, which can harm our business.</w:t>
      </w:r>
    </w:p>
    <w:p>
      <w:pPr>
        <w:spacing w:after="0" w:line="10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anti-bribery and anti-money laundering laws in the countries in which we conduct activities. In addition, the U.S. Congress recently enacted legislation that limits the ability of recipients of federal funding to work with certain designated biotech companies from China and other nations. The implications of this legislation for the pharmaceutical industry depend in part on a federal agency review process whose scope and effect are as yet unclear.</w:t>
      </w:r>
    </w:p>
    <w:p>
      <w:pPr>
        <w:spacing w:after="0" w:line="135"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Anti-corruption laws are interpreted broadly and prohibit companies and their employees, agents, contractors, and other collaborators from authorizing, promising, offering, or providing, directly or indirectly, improper payments or anything else of value to or from recipients in the public or private sector. We may engage third parties to sell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1" w:name="page82"/>
    <w:bookmarkEnd w:id="8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Healthcare legislative, regulatory or policy reform measures may have a negative impact on our business and results of operations, and could prevent commercial success of our product candidates.</w:t>
      </w:r>
    </w:p>
    <w:p>
      <w:pPr>
        <w:spacing w:after="0" w:line="120"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The federal government and individual states continue to pursue healthcare reform, including promoting changes in healthcare systems with the stated goals of containing healthcare costs, lowering the cost of prescription drugs and biologics, improving quality and expanding access. The pharmaceutical industry has been a particular focus of these efforts and has been significantly affected by major legislative initiatives. The U.S. government and state legislatures have shown interest in implementing cost-containment programs to limit the growth of government-paid and private insurance healthcare costs, including proposed or implemented reforms involving price controls, restrictions on reimbursement and requirements for substitution of generic products for branded prescription drugs and implementing new requirements for, or eliminating caps on, rebates paid on products under government healthcare programs.</w:t>
      </w:r>
    </w:p>
    <w:p>
      <w:pPr>
        <w:spacing w:after="0" w:line="135"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For example, the ACA substantially changed the way healthcare is financed by both the government and private insurers, with significant impacts to the U.S. pharmaceutical industry. There have been judicial, congressional and executive branch challenges to certain aspects of the ACA, including efforts to repeal or replace certain aspects of the ACA.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In addition, an executive order issued on May 12, 2025 directs the Department of Health and Human Services (“HHS”) to implement a “Most Favored Nation” drug pricing policy, and the recently-enacted One Big Beautiful Bill Act imposes new restrictions on funding for government health care programs and on individual eligibility for coverage under those programs, which may lead to lower reimbursements for drugs covered by those programs. More recently, HHS has begun announcing new drug payment models to lower drug prices for government health care program beneficiaries, such as the GUARD and GENEROUS models announced by the agency in late 2025. These models would use the prices other countries pay for drugs as benchmarks for determining whether manufacturers are required to offer additional rebates. We cannot be sure whether additional legislation or rulemaking related to these developments will be issued or enacted, or what impact, if any, such changes will have on our business.</w:t>
      </w:r>
    </w:p>
    <w:p>
      <w:pPr>
        <w:spacing w:after="0" w:line="141"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Additionally, in the United States, there have been, and continue to be, several legislative and regulatory changes and proposed changes regarding the healthcare system that could prevent or delay marketing approval of product candidates, restrict or regulate post-approval activities, and affect our ability to profitably sell any product candidates for which we obtain marketing approval. We are unable to predict what additional legislation, regulations or policies, if any, relating to the healthcare industry or third-party coverage and reimbursement may be enacted in the future or what effect such legislation, regulations or policies would have on our business. Any cost containment measures or other healthcare system reforms that are adopted could significantly decrease the available coverage and the price we might establish for our product candidates and their commercial success, which would have an adverse effect on our business and results of operations.</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Governments outside the United States may impose strict price controls, which may adversely affect our revenue, if any.</w:t>
      </w:r>
    </w:p>
    <w:p>
      <w:pPr>
        <w:spacing w:after="0" w:line="197"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In some countries, particularly member states of the EU, the pricing of prescription drugs is subject to governmental control. In these countries, pricing negotiations with governmental authorities can take considerable time after receipt of marketing approval for a therapeutic.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To obtain coverage and reimbursement or pricing approvals in some countries, we or current or future collaborators of ours may be required to conduct a clinical trial or other studies that compare the cost-effectiveness of a product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approved for marketing is unavailable or limited in scope or amount, or if pricing is set at unsatisfactory levels, our business, financial condition, results of operations or prospects could be materially and adversely affected.</w:t>
      </w:r>
    </w:p>
    <w:p>
      <w:pPr>
        <w:spacing w:after="0" w:line="200" w:lineRule="exact"/>
        <w:rPr>
          <w:sz w:val="20"/>
          <w:szCs w:val="20"/>
          <w:color w:val="auto"/>
        </w:rPr>
      </w:pPr>
    </w:p>
    <w:p>
      <w:pPr>
        <w:spacing w:after="0" w:line="33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2" w:name="page83"/>
    <w:bookmarkEnd w:id="8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While we have received Fast Track designation and Breakthrough Therapy designation for NGN-401 for the treatment of Rett syndrome and NGN-401 has been accepted into the FDA’s START Pilot Program and RMAT program and has received PRIME designation from the EMA, such designations may not lead to a faster development or regulatory review or approval process.</w:t>
      </w:r>
    </w:p>
    <w:p>
      <w:pPr>
        <w:spacing w:after="0" w:line="125"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In 2024, the FDA began accepting applications from sponsors for the START pilot program with the purpose of further accelerating the pace of development of novel drug and biological products that are intended to address an unmet medical need as a treatment for rare disease. The pilot is designed to be milestone-driven (i.e. to facilitate the progression of a development program to pivotal clinical study stage or the pre-BLA meeting stage) where product development programs selected would benefit from enhanced communication with the FDA. The START pilot program is intended to provide a mechanism for addressing clinical development issues that otherwise would delay or prevent a promising novel drug or biological product from progressing to the pivotal clinical trial stage</w:t>
      </w:r>
    </w:p>
    <w:p>
      <w:pPr>
        <w:spacing w:after="0" w:line="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or pre-BLA meeting stage. Participants in the START Pilot Program will receive enhanced communications with the FDA review staff. These enhanced communications will include at a minimum an initial meeting to review features of the pilot, discuss a pathway intended to support a marketing application, and to discuss specific issues for which a sponsor requests enhanced communications with the FDA. Additional communications will include ongoing interactions via email or teleconference that take place on a scheduled and/or as needed basis as agreed upon by the sponsor information on how best to facilitate more efficient development of potentially life-saving therapies for rare diseases and help sponsors generate high-quality, actionable data to support future new drug or biologics license applications. In June 2024, we announced that our product candidate NGN-401 had been accepted into the FDA’s START Pilot Program, which we expect will allow us to have access to more frequent advice from FDA staff to address product-specific development issues, possibly including clinical study design, choice of control group, patient population choices and other early development issues. As part of the START program, in June 2025 we announced written agreement from the FDA on key aspects of the registrational trial design for Embolden, our registrational clinical trial designed to evaluate NGN-401 gene therapy in patients with Rett syndrome. Despite the registrational trial and even though our product candidate NGN-401 for Rett syndrome has been accepted into the START Pilot Program, this may not result in a faster approval process for NGN-401 as a product candidate.</w:t>
      </w:r>
    </w:p>
    <w:p>
      <w:pPr>
        <w:spacing w:after="0" w:line="138"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The FDA’s RMAT designation program is intended to fulfill the requirement of the 21st Century Cures Act that the FDA facilitate an efficient development program for, and expedite review of, any product that meets the following criteria: (1) it qualifies as an RMAT, which is defined as a cell therapy, therapeutic tissue engineering product, human cell and tissue product, or any combination product using such therapies or products, with limited exceptions; (2) it is intended to treat, modify, reverse, or cure a serious or life-threatening disease or condition; and (3) preliminary clinical evidence indicates that the product has the potential to address unmet medical needs for such a disease or condition. In 2024, the FDA granted an RMAT designation for NGN-401 for the treatment of Rett syndrome. RMAT designation provides potential benefits that include more frequent meetings with FDA to discuss the development plan for the product candidate, and eligibility for rolling review and priority review. Products granted RMAT designation may also be eligible for accelerated approval on the basis of a surrogate or intermediate endpoint reasonably likely to predict long-term clinical benefit, or may be able to rely upon data obtained from a meaningful number of sites, including through expansion to additional sites. RMAT designation does not change the standards for product approval, and there is no assurance that such designation will result in expedited review or approval or that the approved indication will not be narrower than the indication covered by the RMAT designation. Additionally, RMAT designation can be revoked if the criteria for eligibility cease to be met as clinical data emerges.</w:t>
      </w:r>
    </w:p>
    <w:p>
      <w:pPr>
        <w:spacing w:after="0" w:line="143"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The FDA may also designate a product candidate for Fast Track review if it is intended, whether alone or in combination with one or more other products, for the treatment of a serious or life-threatening disease or condition, and it demonstrates the potential to address unmet medical needs for such a disease or condition. For Fast Track products, sponsors may have greater interactions with the FDA and the FDA may initiate review of sections of a Fast Track product’s application before the application is complete. This rolling review may be available if the FDA determines, after preliminary evaluation of clinical data submitted by the sponsor, that a Fast Track product may be effective. We have received Fast Track designation in the United States for NGN-401 for the treatment of Rett syndrome and we may seek additional designations for one or more of our other product candidates that could expedite review and approval by the FDA.</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3" w:name="page84"/>
    <w:bookmarkEnd w:id="8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In addition, the FDA may designate a product candidate for Breakthrough Therapy designation if the product candidate is intended, alone or in combination with one or more other products, to treat a serious or life threatening disease or condition has preliminary clinical evidence which indicates that the product may demonstrate substantial improvement over existing therapies on one or more clinically significant endpoints, such as substantial treatment effects observed early in clinical development. The benefits of Breakthrough Therapy designation include eligibility for Priority Review, rolling submission of sections of the BLA and the FDA’s organizational commitment to help determine an efficient route to approval. In February 2026, the FDA granted Breakthrough Therapy designation to NGN-401 for the treatment of Rett syndrome following review of interim clinical data as of October 30, 2025. and we may seek Breakthrough Therapy designation for one or more of our other product candidates in the future.</w:t>
      </w:r>
    </w:p>
    <w:p>
      <w:pPr>
        <w:spacing w:after="0" w:line="1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Participation in the START Pilot Program, RMAT designation, Breakthrough Therapy designation and the designation of a product for Fast Track review are</w:t>
      </w:r>
    </w:p>
    <w:p>
      <w:pPr>
        <w:spacing w:after="0" w:line="4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within the discretion of the FDA. In addition, the START Pilot Program is still relatively new, having been established in 2024, so there is little historical information on how that program is expected to be administered, and the stated intentions of the program may not be met, or the program may cease to have</w:t>
      </w:r>
    </w:p>
    <w:p>
      <w:pPr>
        <w:spacing w:after="0" w:line="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appropriate funding due to changes in the regulatory landscape. Moreover, neither participation in the START Pilot Program nor the receipt of either Fast Track designation, Breakthrough Therapy designation or RMAT designation for a product candidate is any guarantee that there will be faster development or a faster or</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more streamlined regulatory review or approval process compared to products considered for approval under conventional FDA procedures. Neither participation in the START Pilot Program nor any of Fast Track designation, Breakthrough Therapy design or RMAT designation will assure ultimate approval by the FDA. In addition, the FDA may later decide that the product candidates no longer meet the conditions to qualify for those programs, and we may not receive the benefits of those programs for the relevant product candidate, or decide that the time period for FDA review or approval will not be shortened. Additionally, changes in the leadership of the FDA and other actions taken by the Trump Administration, including mass layoffs within the federal government, may impose constraints on the FDA’s ability to engage in activities in the normal course and may result in reductions to the FDA’s budget, employees and operations, which may lead to slower response times and longer review periods, potentially affecting our ability to take advantage of the benefits for the START program or any of the other designations granted to NGN-401, and progress development of our product candidates or obtain regulatory approval for our product candidates may be delayed.</w:t>
      </w:r>
    </w:p>
    <w:p>
      <w:pPr>
        <w:spacing w:after="0" w:line="149"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In addition, we have also received PRIME designation from the EMA for NGN-401. PRIME is intended to enhance support for the development of medicines that target an unmet medical need, and is expected to allow enhanced interaction and early dialogue between us and the EMA on development plans for NGN-401 and to potentially speed up the evaluation process. However, similar to the START Pilot Program and Fast Track designation, we cannot be sure that the PRIME designation will actually result in a faster development time or more streamlined review, or that we will necessarily pursue the benefits of the program with respect to development of our product in the European market.</w:t>
      </w:r>
    </w:p>
    <w:p>
      <w:pPr>
        <w:spacing w:after="0" w:line="169"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may seek certain additional designations for our product candidates, including Priority Review designations by the FDA, however, even if we receive such designations, there is no guarantee that they would lead to faster development or regulatory review timelines or increase the likelihood of marketing approval for such product candidate.</w:t>
      </w:r>
    </w:p>
    <w:p>
      <w:pPr>
        <w:spacing w:after="0" w:line="125"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We may seek priority review designation for one or more of our product candidates. If the FDA determines that a product candidate offers a treatment for a serious condition, and if approved, would provide a significant improvement in safety or effectiveness where no adequate therapy exists, the FDA may designate the product candidate for priority review. A priority review designation means that the goal for the FDA to review an application is six months, rather than the standard review period of ten months.</w:t>
      </w:r>
    </w:p>
    <w:p>
      <w:pPr>
        <w:spacing w:after="0" w:line="133"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As with the Fast Track, RMAT and Breakthrough Therapy designations and selection for participation in the START Pilot Program, the Priority Review designation is within the discretion of the FDA. Even if we believe that one or more of our product candidates meets the criteria for this designations, the FDA may not agree and instead determine to not make such a designation. Even if one or more of our product candidates qualifies for this designations, the FDA may later decide that such product candidate no longer meets the conditions for that designation, and we may not receive the benefits of the designation for that product candidate. If a product candidate is awarded Priority Review designation by the FDA, it may not result in a faster or more streamlined regulatory review or approval process compared to products considered for approval under conventional FDA procedures, and it does not assure ultimate marketing approval of such product candidate by the FDA.</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4" w:name="page85"/>
    <w:bookmarkEnd w:id="84"/>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received orphan drug designation for NGN-401 for the treatment of Rett syndrome and we may seek orphan drug designation for certain future product candidates, but we may be unable to obtain such designations or to maintain the benefits associated with orphan drug designation, including market exclusivity, which may cause our revenue, if any, to be reduced.</w:t>
      </w:r>
    </w:p>
    <w:p>
      <w:pPr>
        <w:spacing w:after="0" w:line="125"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have received orphan drug designation from the FDA and orphan drug designation and advanced therapy medicinal product designation from the European Medicines Agency (EMA) for NGN-401 for the treatment of Rett syndrome. Although we may seek orphan product designation for some or all of our other product candidates, we may never receive such designations. Under the Orphan Drug Act, the FDA may designate a drug or biological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Orphan drug designation must be requested before submitting a BLA. In the EU, the EMA’s Committee for Orphan Medicinal Products grants orphan drug designation to promote the development of products that are intended for the diagnosis, prevention, or treatment of a life-threatening or chronically debilitating condition affecting not more than five in 10,000 persons in the EU.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drug or biological product or where there is no satisfactory method of diagnosis, prevention, or treatment, or, if such a method exists, the medicine must be of significant benefit to those affected by the condition.</w:t>
      </w:r>
    </w:p>
    <w:p>
      <w:pPr>
        <w:spacing w:after="0" w:line="156"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In the United States, orphan drug designation entitles a party to financial incentives such as opportunities for grant funding towards clinical trial costs, tax advantages, and application fee waivers. After the FDA grants orphan drug designation, the generic identity of the drug and its potential orphan use are disclosed publicly by the FDA.</w:t>
      </w:r>
    </w:p>
    <w:p>
      <w:pPr>
        <w:spacing w:after="0" w:line="127"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In addition, if a product receives the first FDA approval for the indication for which it has orphan designation, the product is entitled to orphan drug exclusivity, which means the FDA may not approve any other application to market the same drug for the same approved use or indication for a period of seven years, except in limited circumstances, such as a showing of clinical superiority over the product with orphan exclusivity or where the manufacturer is unable to assure sufficient product quantity for the needs of the orphan patient population for the same use or indication for which the already approved or licensed drug was approved or licensed. Exclusive marketing rights in the United States may also be unavailable if we or our collaborators seek approval for an indication broader than the orphan designated indication and may be lost if the FDA later determines that the request for designation was materially defective.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40"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Even with an orphan drug designation for our current and potential future product candidates, we may not be the first to obtain marketing approval for any particular orphan indication due to the uncertainties associated with developing pharmaceutical products. Further, even if we obtain orphan drug exclusivity for an existing or future product candidate, that exclusivity may not effectively protect the product from competition because different drugs with different active moieties still can be approved for the same condition even with an orphan drug designation. Even after an orphan drug is approved, the FDA can subsequently approve the same drug with the same active moiety for the same condition if the FDA concludes that the later drug is clinically superior in that it is safer, more effective, or makes a major contribution to patient care. Orphan drug designation neither shortens the development time or regulatory review time of a drug or biologic nor gives the drug or biologic any advantage in the regulatory review or approval process.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5" w:name="page86"/>
    <w:bookmarkEnd w:id="85"/>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We have received Rare Pediatric Disease designation by the FDA for NGN-401 for the treatment of Rett syndrome. However, Rare Pediatric Disease designation for any of our product candidates does not guarantee that the BLA for the product will qualify for a priority review voucher upon approval, and it does not lead to a faster development or regulatory review process, or increase the likelihood that our product candidates will receive marketing approval.</w:t>
      </w:r>
    </w:p>
    <w:p>
      <w:pPr>
        <w:spacing w:after="0" w:line="125"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Under the Rare Pediatric Disease Priority Review Voucher program, upon the approval of a qualifying BLA for the treatment of a rare pediatric disease, the sponsor of such an application would be eligible for a rare pediatric disease priority review voucher that can be used to obtain priority review for a subsequent BLA or NDA. If a product candidate that received Rare Pediatric Disease designation is eligible to receive a voucher if it is approved before September 30, 2029. While we have obtained Rare Pediatric Disease designation for NGN-401 for the treatment of Rett syndrome, in order to obtain a priority review voucher, NGN-401 must be approved by September 30, 2029. If approval is not obtained by then, we would not be in a position to obtain a priority review voucher, unless Congress further reauthorizes the program beyond the current sunset date. Additionally, designation of a biological product for a rare pediatric disease does not guarantee that a BLA will meet the eligibility criteria for a rare pediatric disease priority review voucher at the time the application is approved. Finally, a Rare Pediatric Disease designation does not lead to faster development or regulatory review of the product or increase the likelihood that it will receive marketing approval.</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 Factors</w:t>
      </w:r>
    </w:p>
    <w:p>
      <w:pPr>
        <w:spacing w:after="0" w:line="21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estimates of market opportunity and forecasts of market growth may prove to be inaccurate, and even if the markets in which we compete achieve the forecasted growth, our business may not grow at similar rates, or at all.</w:t>
      </w:r>
    </w:p>
    <w:p>
      <w:pPr>
        <w:spacing w:after="0" w:line="120"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pacing w:after="0" w:line="133"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become exposed to costly and damaging liability claims, either when testing a product candidate in the clinical or at the commercial stage, and our product liability insurance may not cover all damages from such claims.</w:t>
      </w:r>
    </w:p>
    <w:p>
      <w:pPr>
        <w:spacing w:after="0" w:line="107"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We are exposed to potential product liability and professional indemnity risks that are inherent in the research, development, manufacturing, marketing, and use of pharmaceutical products. While we currently have no products that have been approved for commercial sale, the current and future use of a product candidate in clinical trials, and the sale of any approved products in the future, may expose us to liability claims. These claims may be made by patients that use the product, healthcare providers, pharmaceutical companies, or others selling such product. Any claims against us, regardless of their merit, could be difficult and costly to defend and could materially and adversely affect the market for our products or any prospects for commercialization of our products. Although we believe we currently maintain adequate product liability insurance for NGN-401, NGN-101 and other product candidates, it is possible that our liabilities could exceed our insurance coverage or that in the future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6" w:name="page87"/>
    <w:bookmarkEnd w:id="86"/>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manufacturing facility is located in Houston, Texas, making us vulnerable to risks (including weather-related risks) associated with maintaining those operations in a single geographic area.</w:t>
      </w:r>
    </w:p>
    <w:p>
      <w:pPr>
        <w:spacing w:after="0" w:line="10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Our manufacturing facility is located in Houston, Texas, which is subject to extreme weather events such as hurricanes and other significant storms, which can cause interruption to our utilities and potentially result in damage to our facility, limit the ability of suppliers to reach us during such disruptions and adversely impact our manufacturing processes. For example, in July 2024, our facility in Houston sustained five days of power loss from the impact of Hurricane Beryl, which was a Category 1 hurricane. While we were able to maintain power to critical systems through the use of our generators, the outage caused a minor delay in our development activities and caused disruptions in our manufacturing processes, including in our clean rooms. The impact of Hurricane Beryl was not material to our operations, however, future weather events could cause more disruption, including the potential for a sustained loss of power that could result in costly delays to our manufacturing process or the loss of certain materials stored in our facility, which could in turn have a material adverse effect on our product development timeline and results of operations.</w:t>
      </w:r>
    </w:p>
    <w:p>
      <w:pPr>
        <w:spacing w:after="0" w:line="14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Litigation costs and the outcome of litigation could have a material adverse effect on our business.</w:t>
      </w:r>
    </w:p>
    <w:p>
      <w:pPr>
        <w:spacing w:after="0" w:line="184"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From time to time we may be subject to litigation claims through the ordinary course of our business operations regarding, but not limited to, employment matters, security of patient and employee personal information, contractual relations with collaborators and intellectual property rights. Litigation to defend ourselves against claims by third parties, or to enforce any rights that we may have against third parties, may continue to be necessary, which could result in substantial costs and diversion of our resources, causing a material adverse effect on our business, financial condition, results of operations or cash flows.</w:t>
      </w:r>
    </w:p>
    <w:p>
      <w:pPr>
        <w:spacing w:after="0" w:line="1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by economic volatility, inflation, fluctuations in interest rates, natural disasters, public health crises, political crises, geopolitical events or other macroeconomic conditions, which could have a material and adverse effect on our results of operations and financial condition.</w:t>
      </w:r>
    </w:p>
    <w:p>
      <w:pPr>
        <w:spacing w:after="0" w:line="125"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The global economy, including credit and financial markets, has experienced and may experience in the future extreme volatility and disruptions, including, among other things, diminished liquidity and credit availability, declines in consumer confidence, declines in economic growth, supply chain shortages, burdensome tariff regimes and retaliatory trade measures, trade and other international disputes, increases in inflation rates, fluctuating interest rates, slower growth or recession, tighter credit, volatility in financial markets, high unemployment, labor availability constraints, public health crises, significant natural disasters, including as a result of climate change, changes to fiscal and monetary policy or government budget dynamics (particularly in the pharmaceutical and biotechnology areas), government shutdowns, political and military conflict, and uncertainty about economic stability.</w:t>
      </w:r>
    </w:p>
    <w:p>
      <w:pPr>
        <w:spacing w:after="0" w:line="200" w:lineRule="exact"/>
        <w:rPr>
          <w:sz w:val="20"/>
          <w:szCs w:val="20"/>
          <w:color w:val="auto"/>
        </w:rPr>
      </w:pPr>
    </w:p>
    <w:p>
      <w:pPr>
        <w:spacing w:after="0" w:line="3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7" w:name="page88"/>
    <w:bookmarkEnd w:id="87"/>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5" w:lineRule="auto"/>
        <w:rPr>
          <w:sz w:val="20"/>
          <w:szCs w:val="20"/>
          <w:color w:val="auto"/>
        </w:rPr>
      </w:pPr>
      <w:r>
        <w:rPr>
          <w:rFonts w:ascii="Times New Roman" w:cs="Times New Roman" w:eastAsia="Times New Roman" w:hAnsi="Times New Roman"/>
          <w:sz w:val="17"/>
          <w:szCs w:val="17"/>
          <w:color w:val="auto"/>
        </w:rPr>
        <w:t>In September 2025, the United States announced plans to impose up to 100% tariffs on imported branded or patented pharmaceuticals, subject to certain exceptions, and in April 2026, the U.S. Administration issued a Proclamation regarding the imposition of such tariffs. While the U.S. government has granted exemptions or lower reciprocal rates (often 15% or less) to certain trading partners—such as the United Kingdom, Argentina, and South Korea—and provided relief to companies entering into "Most Favored Nation" pricing agreements or committing to U.S. manufacturing, there is no guarantee that our specific product candidates or their components will qualify for such relief. These tariffs apply to many active pharmaceutical ingredients and bulk drug products, including those intended for clinical use, which has increased the costs of our clinical trials. Historically, tariffs have led to increased trade and political tensions. In response to tariffs, other countries have implemented retaliatory tariffs on U.S. goods. Political tensions as a result of trade policies could reduce trade volume, investment, technological exchange and other economic activities between major international economies, resulting in a material adverse effect on global economic conditions and the stability of global financial markets. The ongoing shift toward bilateral "reciprocal" trade deals creates a fragmented global market that may increase our administrative and compliance costs. Fluctuating interest rates, coupled with reduced government spending and volatility in financial markets, may increase economic uncertainty and affect consumer spending. Similarly, tensions with China, the ongoing military conflict between Russia and Ukraine and in the Middle East and the related volatility in the price of oil and other commodity prices, and heightened tensions in the Persian Gulf in early 2026 which escalated into a major military conflict throughout the region with significant continued uncertainty and instability have impacted energy costs, costs of goods and services, and created extreme volatility in the global capital markets and may have further global economic consequences, including increased disruptions of the global supply chain. Any such volatility and disruptions may adversely affect our business or the third parties on whom we rely. If the equity and credit markets deteriorate, including as a result of economic or political uncertainty, political unrest or war, it may make any necessary debt or equity financing more costly, more dilutive, or more difficult to obtain in a timely manner or on favorable terms, if at all. Increased inflation rates can adversely affect us by increasing our costs, including materials, operational labor and employee benefit costs.</w:t>
      </w:r>
    </w:p>
    <w:p>
      <w:pPr>
        <w:spacing w:after="0" w:line="155"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We may in the future experience disruptions as a result of such macroeconomic conditions, including delays or difficulties in initiating or expanding clinical trials and manufacturing sufficient quantities of materials. Any one or a combination of these events could have a material and adverse effect on our results of operations and financial condition.</w:t>
      </w:r>
    </w:p>
    <w:p>
      <w:pPr>
        <w:spacing w:after="0" w:line="12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Geopolitical events and global economic conditions may also affect the ability of the FDA and other regulatory authorities to perform routine functions. For example, recent internal agency reorganizations and workforce reductions at the FDA and DOJ may impact inspection capacity, investigative timelines, and the pacing of marketing application reviews. If such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Owning Our Stock</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The market price of our common stock may continue to be volatile.</w:t>
      </w:r>
    </w:p>
    <w:p>
      <w:pPr>
        <w:spacing w:after="0" w:line="184" w:lineRule="exact"/>
        <w:rPr>
          <w:sz w:val="20"/>
          <w:szCs w:val="20"/>
          <w:color w:val="auto"/>
        </w:rPr>
      </w:pPr>
    </w:p>
    <w:p>
      <w:pPr>
        <w:jc w:val="both"/>
        <w:ind w:firstLine="387"/>
        <w:spacing w:after="0" w:line="284" w:lineRule="auto"/>
        <w:rPr>
          <w:sz w:val="20"/>
          <w:szCs w:val="20"/>
          <w:color w:val="auto"/>
        </w:rPr>
      </w:pPr>
      <w:r>
        <w:rPr>
          <w:rFonts w:ascii="Times New Roman" w:cs="Times New Roman" w:eastAsia="Times New Roman" w:hAnsi="Times New Roman"/>
          <w:sz w:val="17"/>
          <w:szCs w:val="17"/>
          <w:color w:val="auto"/>
        </w:rPr>
        <w:t>The market price of our common stock following the merger has been and may continue to be subject to significant fluctuations. Some of the factors that may cause the market price of our common stock to fluctuate include:</w:t>
      </w:r>
    </w:p>
    <w:p>
      <w:pPr>
        <w:spacing w:after="0" w:line="1" w:lineRule="exact"/>
        <w:rPr>
          <w:sz w:val="20"/>
          <w:szCs w:val="20"/>
          <w:color w:val="auto"/>
        </w:rPr>
      </w:pPr>
    </w:p>
    <w:p>
      <w:pPr>
        <w:ind w:left="940" w:hanging="473"/>
        <w:spacing w:after="0" w:line="263"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and results of clinical trials and preclinical studies of our product candidates, or those of our competitors or our existing or future collaborators;</w:t>
      </w:r>
    </w:p>
    <w:p>
      <w:pPr>
        <w:spacing w:after="0" w:line="249"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or exceed financial and development projections that we may provide to the public;</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meet or exceed the financial and development projections of the investment community;</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achieve the perceived benefits of the merger as rapidly or to the extent anticipated by financial or industry analysts;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acquisitions, strategic collaborations, joint ventures or capital commitments by us or our competitors;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actions taken by regulatory agencies with respect to our product candidates, clinical studies, manufacturing process or sales and marketing terms;</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disputes or other developments relating to proprietary rights, including patents, litigation matters, and our ability to obtain patent protection for our technologies;</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lawsuits, including patent or stockholder litigation;</w:t>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8" w:name="page89"/>
    <w:bookmarkEnd w:id="88"/>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40" w:hanging="473"/>
        <w:spacing w:after="0" w:line="284"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securities or industry analysts do not publish research or reports about our business, or if they issue adverse or misleading opinions regarding our business and stock;</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market valuations of similar companies;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macroeconomic or geopolitical conditions or market conditions in the pharmaceutical and biotechnology sectors;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securities by us or our securityholders in the future;</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fail to raise an adequate amount of capital to fund our operations or continued development of our product candidates;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volume of our common stock;</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competitors of new commercial products, clinical progress or lack thereof, significant contracts, commercial relationships or capital commitments;</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publicity relating to gene therapy product candidates, including with respect to other products in such markets;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introduction of technological innovations or new therapies that compete with our products; and</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period-to-period fluctuations in our financial results.</w:t>
      </w:r>
    </w:p>
    <w:p>
      <w:pPr>
        <w:spacing w:after="0" w:line="178"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Moreover, the stock markets in general have experienced substantial volatility that has often been unrelated to the operating performance of individual companies. For example, escalating trade tensions, fluctuations in interest rates and regulatory uncertainty have caused significant market volatility in recent years, and particularly in the biotechnology and biopharmaceutical industries. These broad market fluctuations may also adversely affect the trading price of our common stock. In addition, a recession, depression or other sustained adverse market event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stockholder activism or securities litigation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financial condition and cash flows. Class action securities litigation, if instituted, could result in substantial costs and diversion of management attention and resources, which could significantly harm our profitability and reputation.</w:t>
      </w:r>
    </w:p>
    <w:p>
      <w:pPr>
        <w:spacing w:after="0" w:line="147"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may be required to allocate resources to fulfill the requirements of the CVR Agreement entered into in connection with the Reverse Merger related to certain legacy lease obligations which may take away from our core programs and create a distraction for our management and employees.</w:t>
      </w:r>
    </w:p>
    <w:p>
      <w:pPr>
        <w:spacing w:after="0" w:line="10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On December 18, 2023, we completed our business combination with our wholly owned subsidiary incorporated in the state of Nevada and also named Neurogene Inc. (“Neurogene OpCo”) in accordance with the terms of the Agreement and Plan of Merger, dated as of July 17, 2023 (the “Merger Agreement”), by and among the Company, Project North Merger Sub, Inc., a Delaware corporation and a wholly owned subsidiary of the Company (“Merger Sub”), and Neurogene OpCo, pursuant to which, among other matters, Merger Sub merged with and into Neurogene OpCo, with Neurogene OpCo surviving as a wholly owned subsidiary of the Company (the “Reverse Merger”).</w:t>
      </w:r>
    </w:p>
    <w:p>
      <w:pPr>
        <w:spacing w:after="0" w:line="136"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In connection with the Reverse Merger, we declared a dividend, to each person who, as of immediately prior to the effective time of the Reverse Merger, was a stockholder of the Company or had the right to receive our common stock pursuant to an existing pre-funded warrant, of the right to receive one non-transferable contingent value right (each, a “CVR”) for each then outstanding share of our common stock (before giving effect to a 1-for-4 reverse stock split (the “Reverse Stock Split”) that was implemented immediately prior to the effective time), each representing the non-transferable contractual right to receive certain contingent payments from the Company upon the occurrence of certain events within agreed time periods. Holders of options to purchase our common stock outstanding immediately prior to the effective time of the merger will also receive four CVRs for each share of our common stock that may be issued upon exercise of such option, such that they will receive the same number of CVRs as they would have received if the option had been exercised before the Reverse Stock Split, subject to certain conditions set forth in the CVR Agreement.</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89" w:name="page90"/>
    <w:bookmarkEnd w:id="89"/>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387"/>
        <w:spacing w:after="0" w:line="257" w:lineRule="auto"/>
        <w:rPr>
          <w:sz w:val="20"/>
          <w:szCs w:val="20"/>
          <w:color w:val="auto"/>
        </w:rPr>
      </w:pPr>
      <w:r>
        <w:rPr>
          <w:rFonts w:ascii="Times New Roman" w:cs="Times New Roman" w:eastAsia="Times New Roman" w:hAnsi="Times New Roman"/>
          <w:sz w:val="17"/>
          <w:szCs w:val="17"/>
          <w:color w:val="auto"/>
        </w:rPr>
        <w:t>Pursuant to the terms of the CVR Agreement, the holders of our common stock prior to the effective time of the Reverse Merger, including holders of existing pre-funded warrants and holders of options to purchase our common stock outstanding immediately prior to the effective time of the merger and exercised after the effective time of the merger, rather than all of our current holders of our common stock, are the primary recipients of any net proceeds of the disposition of the legacy assets related the business of Neoleukin Therapeutics, Inc. as it existed prior to the effective time of the Reverse Merger, the mitigation of legacy lease obligations related the business of Neoleukin Therapeutics, Inc. as it existed prior to the effective time of the Reverse Merger or receipt of any sales tax refund from the State of Washington based on tax returns we filed prior to the effective time of the Reverse Merger. While we have entered into agreements for the disposition of certain legacy assets of Neoleukin, we are still pursuing a resolution of the legacy lease obligations of Neoleukin and expect that we will need to allocate resources, including payment of certain up-front costs, and time from employees and management to complete the resolution of such obligations and to administer the provisions of the CVR Agreement (as defined below) and distribution of any payments to holders of the CVRs.</w:t>
      </w:r>
    </w:p>
    <w:p>
      <w:pPr>
        <w:spacing w:after="0" w:line="153" w:lineRule="exact"/>
        <w:rPr>
          <w:sz w:val="20"/>
          <w:szCs w:val="20"/>
          <w:color w:val="auto"/>
        </w:rPr>
      </w:pPr>
    </w:p>
    <w:p>
      <w:pPr>
        <w:jc w:val="both"/>
        <w:ind w:firstLine="387"/>
        <w:spacing w:after="0" w:line="287" w:lineRule="auto"/>
        <w:rPr>
          <w:sz w:val="20"/>
          <w:szCs w:val="20"/>
          <w:color w:val="auto"/>
        </w:rPr>
      </w:pPr>
      <w:r>
        <w:rPr>
          <w:rFonts w:ascii="Times New Roman" w:cs="Times New Roman" w:eastAsia="Times New Roman" w:hAnsi="Times New Roman"/>
          <w:sz w:val="17"/>
          <w:szCs w:val="17"/>
          <w:color w:val="auto"/>
        </w:rPr>
        <w:t>Accordingly, we may be required to allocate a portion of our funds, time and resources to such activities and not our core programs and the foregoing could be a distraction to our management and employees. As a result, our operations and financial condition may be adversely affected.</w:t>
      </w:r>
    </w:p>
    <w:p>
      <w:pPr>
        <w:spacing w:after="0" w:line="14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We have incurred, and will continue to incur additional costs and increased demands upon management as a result of complying with the laws and regulations affecting public companies.</w:t>
      </w:r>
    </w:p>
    <w:p>
      <w:pPr>
        <w:spacing w:after="0" w:line="107"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have incurred and will continue to incur significant legal, accounting and other expenses as a public company that may not be reflected in our historical financial statements, which reflect our operation as a private company. Some of these additional expenses include costs associated with public company reporting obligations under the Securities Exchange Act of 1934, as amended (the “Exchange Act”). Our management team needs to devote substantial time to complying with public company reporting requirements and compliance with applicable laws and regulations to ensure that we comply with all of these requirements. These reporting requirements, rules and regulations, coupled with the increase in potential litigation exposure associated with being a public company, may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73"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Once we are no longer a smaller reporting company or otherwise no longer qualify for applicable exemptions, we will be subject to additional laws and regulations affecting public companies that will increase our costs and the demands on management and could harm our operating results and cash flows.</w:t>
      </w:r>
    </w:p>
    <w:p>
      <w:pPr>
        <w:spacing w:after="0" w:line="107"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We expect to still qualify as a “smaller reporting company,” as such term is defined in Rule 12b-2 under the Exchange Act, in at least the near term, which allows us to take advantage of many exemptions from disclosure requirements, including not being required to comply with the auditor attestation requirements of Section 404 of the Sarbanes-Oxley Act and reduced disclosure obligations regarding executive compensation in our periodic reports and proxy statements. Once we are no longer a smaller reporting company or otherwise no longer qualify for this exemption, we will be required to comply with these additional legal and regulatory requirements applicable to public companies and will incur significant additional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any of which would require additional financial and management resources.</w:t>
      </w:r>
    </w:p>
    <w:p>
      <w:pPr>
        <w:spacing w:after="0" w:line="200" w:lineRule="exact"/>
        <w:rPr>
          <w:sz w:val="20"/>
          <w:szCs w:val="20"/>
          <w:color w:val="auto"/>
        </w:rPr>
      </w:pPr>
    </w:p>
    <w:p>
      <w:pPr>
        <w:spacing w:after="0" w:line="34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0" w:name="page91"/>
    <w:bookmarkEnd w:id="90"/>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If we fail to maintain proper and effective internal controls, our ability to produce accurate financial statements on a timely basis could be impaired.</w:t>
      </w:r>
    </w:p>
    <w:p>
      <w:pPr>
        <w:spacing w:after="0" w:line="184"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We are subject to the reporting requirements of the Exchange Act, the Sarbanes-Oxley Act and the rules and regulations of Nasdaq. The Sarbanes-Oxley Act requires, among other things, that we maintain effective disclosure controls and procedures and internal control over financial reporting. We must perform system and process evaluation and testing of our internal control over financial reporting to allow management to report on the effectiveness of our internal control over financial reporting in each Annual Report on Form 10-K, as required by Section 404 of the Sarbanes-Oxley Act. Prior to the merger in December 2023, our operating and finance teams were part of a private company, and therefore were not previously required to test internal controls within a specified period. As a result, we have incurred and may continue to incur substantial professional fees and internal costs to expand our accounting and finance functions as well as to expend significant management efforts. 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6"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As part of our ongoing monitoring of internal control from time to time we have discovered deficiencies in our internal controls that have required remediation. In the past, these deficiencies have included a "material weakness," defined as a deficiency or combination of deficiencies that results in more than a remote likelihood that a material misstatement of the annual or interim financial statements will not be prevented or detected. While management has determined in its assessment of our internal controls over financial reporting as of December 31, 2025 that we have no material weaknesses or significant deficiencies, there can be no assurance that we will not identify a significant deficiency or material weakness in the future, which could adversely affect the accuracy and timing of our financial reporting and our ability to maintain compliance with securities law requirements and applicable exchange listing requirements, which could negatively impact our stock price and give rise to potential investigations by Nasdaq, the SEC and other regulatory authorities.</w:t>
      </w:r>
    </w:p>
    <w:p>
      <w:pPr>
        <w:spacing w:after="0" w:line="140" w:lineRule="exact"/>
        <w:rPr>
          <w:sz w:val="20"/>
          <w:szCs w:val="20"/>
          <w:color w:val="auto"/>
        </w:rPr>
      </w:pPr>
    </w:p>
    <w:p>
      <w:pPr>
        <w:jc w:val="both"/>
        <w:ind w:firstLine="387"/>
        <w:spacing w:after="0" w:line="270" w:lineRule="auto"/>
        <w:rPr>
          <w:sz w:val="20"/>
          <w:szCs w:val="20"/>
          <w:color w:val="auto"/>
        </w:rPr>
      </w:pPr>
      <w:r>
        <w:rPr>
          <w:rFonts w:ascii="Times New Roman" w:cs="Times New Roman" w:eastAsia="Times New Roman" w:hAnsi="Times New Roman"/>
          <w:sz w:val="17"/>
          <w:szCs w:val="17"/>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common stock could decline and we could be subject to sanctions or investigations by Nasdaq, the SEC or other regulatory authorities.</w:t>
      </w:r>
    </w:p>
    <w:p>
      <w:pPr>
        <w:spacing w:after="0" w:line="159"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certificate of incorporation and bylaws, as well as provisions under Delaware law, could make an acquisition of the company more difficult and may prevent attempts by our stockholders to replace or remove management.</w:t>
      </w:r>
    </w:p>
    <w:p>
      <w:pPr>
        <w:spacing w:after="0" w:line="10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Provisions in our certificate of incorporation and bylaws may discourage, delay or prevent a merger, acquisition or other change in control of the company that stockholders may consider favorable, including transactions in which our common stockholders might otherwise receive a premium price for their shares. These provisions could also limit the price that investors might be willing to pay in the future for shares of our common stock, thereby depressing the market price of our common stock. In addition, because our board of directors will be responsible for appointing the members of our management team, these provisions may frustrate or prevent any attempts by our stockholders to replace or remove current management by making it more difficult for stockholders to replace members of our board of directors. Among other things, these provisions:</w:t>
      </w:r>
    </w:p>
    <w:p>
      <w:pPr>
        <w:spacing w:after="0" w:line="19" w:lineRule="exact"/>
        <w:rPr>
          <w:sz w:val="20"/>
          <w:szCs w:val="20"/>
          <w:color w:val="auto"/>
        </w:rPr>
      </w:pPr>
    </w:p>
    <w:p>
      <w:pPr>
        <w:ind w:left="920" w:hanging="453"/>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of directors such that all members of the board are not elected at one time;</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the authorized number of our directors to be changed only by resolution of our board of directors;</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the manner in which stockholders can remove directors from the board;</w:t>
      </w:r>
    </w:p>
    <w:p>
      <w:pPr>
        <w:spacing w:after="0" w:line="62" w:lineRule="exact"/>
        <w:rPr>
          <w:rFonts w:ascii="Times New Roman" w:cs="Times New Roman" w:eastAsia="Times New Roman" w:hAnsi="Times New Roman"/>
          <w:sz w:val="17"/>
          <w:szCs w:val="17"/>
          <w:color w:val="auto"/>
        </w:rPr>
      </w:pPr>
    </w:p>
    <w:p>
      <w:pPr>
        <w:ind w:left="940" w:hanging="473"/>
        <w:spacing w:after="0" w:line="284"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the board of directors or for proposing matters that can be acted on at stockholder meetings;</w:t>
      </w:r>
    </w:p>
    <w:p>
      <w:pPr>
        <w:spacing w:after="0" w:line="1"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stockholder actions must be effected at a duly called stockholder meeting and prohibit actions by our stockholders by written consent;</w:t>
      </w:r>
    </w:p>
    <w:p>
      <w:pPr>
        <w:spacing w:after="0" w:line="62" w:lineRule="exact"/>
        <w:rPr>
          <w:rFonts w:ascii="Times New Roman" w:cs="Times New Roman" w:eastAsia="Times New Roman" w:hAnsi="Times New Roman"/>
          <w:sz w:val="17"/>
          <w:szCs w:val="17"/>
          <w:color w:val="auto"/>
        </w:rPr>
      </w:pPr>
    </w:p>
    <w:p>
      <w:pPr>
        <w:ind w:left="920" w:hanging="453"/>
        <w:spacing w:after="0"/>
        <w:tabs>
          <w:tab w:leader="none" w:pos="9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who may call a special meeting of stockholders;</w:t>
      </w:r>
    </w:p>
    <w:p>
      <w:pPr>
        <w:spacing w:after="0" w:line="62" w:lineRule="exact"/>
        <w:rPr>
          <w:rFonts w:ascii="Times New Roman" w:cs="Times New Roman" w:eastAsia="Times New Roman" w:hAnsi="Times New Roman"/>
          <w:sz w:val="17"/>
          <w:szCs w:val="17"/>
          <w:color w:val="auto"/>
        </w:rPr>
      </w:pPr>
    </w:p>
    <w:p>
      <w:pPr>
        <w:jc w:val="both"/>
        <w:ind w:left="940" w:hanging="473"/>
        <w:spacing w:after="0" w:line="270" w:lineRule="auto"/>
        <w:tabs>
          <w:tab w:leader="none" w:pos="9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00" w:lineRule="exact"/>
        <w:rPr>
          <w:sz w:val="20"/>
          <w:szCs w:val="20"/>
          <w:color w:val="auto"/>
        </w:rPr>
      </w:pPr>
    </w:p>
    <w:p>
      <w:pPr>
        <w:spacing w:after="0" w:line="32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1" w:name="page92"/>
    <w:bookmarkEnd w:id="91"/>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40" w:hanging="473"/>
        <w:spacing w:after="0" w:line="287" w:lineRule="auto"/>
        <w:tabs>
          <w:tab w:leader="none" w:pos="9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approval of the holders of at least 66 2/3% of the votes that all stockholders would be entitled to cast to amend or repeal certain provisions of our charter or bylaws.</w:t>
      </w:r>
    </w:p>
    <w:p>
      <w:pPr>
        <w:spacing w:after="0" w:line="113"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Moreover, because we are incorporated in Delaware, we are governed by the provisions of Section 203 of the Delaware General Corporation Law (“DGCL”), which prohibits stockholders owning in excess of 15% of our outstanding voting stock from merging or combining with us. Although we believe these provisions collectively will provide for an opportunity to receive higher bids by requiring potential acquirers to negotiate with our board of directors, they would apply even if the offer may be considered beneficial by some stockholders.</w:t>
      </w:r>
    </w:p>
    <w:p>
      <w:pPr>
        <w:spacing w:after="0" w:line="165" w:lineRule="exact"/>
        <w:rPr>
          <w:sz w:val="20"/>
          <w:szCs w:val="20"/>
          <w:color w:val="auto"/>
        </w:rPr>
      </w:pPr>
    </w:p>
    <w:p>
      <w:pPr>
        <w:jc w:val="both"/>
        <w:ind w:firstLine="309"/>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Our governing documents provide that, unless we consent in writing to the selection of an alternative forum, certain designated courts will be the sole and exclusive forum for certain legal actions between us and our stockholders, which could limit our stockholders’ ability to obtain a favorable judicial forum for disputes with us or our directors, officers, employees or agents.</w:t>
      </w:r>
    </w:p>
    <w:p>
      <w:pPr>
        <w:spacing w:after="0" w:line="138" w:lineRule="exact"/>
        <w:rPr>
          <w:sz w:val="20"/>
          <w:szCs w:val="20"/>
          <w:color w:val="auto"/>
        </w:rPr>
      </w:pPr>
    </w:p>
    <w:p>
      <w:pPr>
        <w:jc w:val="both"/>
        <w:ind w:firstLine="387"/>
        <w:spacing w:after="0" w:line="256" w:lineRule="auto"/>
        <w:rPr>
          <w:sz w:val="20"/>
          <w:szCs w:val="20"/>
          <w:color w:val="auto"/>
        </w:rPr>
      </w:pPr>
      <w:r>
        <w:rPr>
          <w:rFonts w:ascii="Times New Roman" w:cs="Times New Roman" w:eastAsia="Times New Roman" w:hAnsi="Times New Roman"/>
          <w:sz w:val="17"/>
          <w:szCs w:val="17"/>
          <w:color w:val="auto"/>
        </w:rPr>
        <w:t xml:space="preserve">Our governing documents provide that, unless we consent in writing to an alternative forum, the Court of Chancery of the State of Delaware is the sole and exclusive forum for state law claims for (i) any derivative action or proceeding brought on the company’s behalf, (ii) any action asserting a claim of or based on a breach of a fiduciary duty owed by any of our current or former directors, officers, or other employees to the company or our stockholders, (iii) any action asserting a claim arising pursuant to any provision of the DGCL, the certificate of incorporation or the bylaws, (iv) any action to interpret, apply, enforce or determine the validity of the certificate of incorporation or bylaws, or (v) any action asserting a claim that is governed by the internal affairs doctrine, in each case subject to the Court of Chancery having personal jurisdiction over the indispensable parties named as defendants therein, which for purposes of this risk factor refers to herein as the “Delaware Forum Provision.” Our governing documents further provide that, unless we consent in writing to an alternative forum, the federal district courts of the United States will be the exclusive forum for resolving any complaint asserting a cause of action arising under the Securities Act of 1933, as amended (the “Securities Act”), which for purposes of this risk factor refers to herein as the “Federal Forum Provision.” Neither the Delaware Forum Provision nor the Federal Forum Provision will apply to any causes of action arising under the Exchange Act. In addition, any person or entity purchasing or otherwise acquiring any interest in shares of our capital stock will be deemed to have notice of and consented to the foregoing Delaware Forum Provision and Federal Forum Provision;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however, that stockholders cannot and will not be deemed to have waived our compliance with the U.S. federal securities laws and the rules and regulations thereunder.</w:t>
      </w:r>
    </w:p>
    <w:p>
      <w:pPr>
        <w:spacing w:after="0" w:line="138" w:lineRule="exact"/>
        <w:rPr>
          <w:sz w:val="20"/>
          <w:szCs w:val="20"/>
          <w:color w:val="auto"/>
        </w:rPr>
      </w:pPr>
    </w:p>
    <w:p>
      <w:pPr>
        <w:jc w:val="both"/>
        <w:ind w:firstLine="387"/>
        <w:spacing w:after="0" w:line="264" w:lineRule="auto"/>
        <w:rPr>
          <w:sz w:val="20"/>
          <w:szCs w:val="20"/>
          <w:color w:val="auto"/>
        </w:rPr>
      </w:pPr>
      <w:r>
        <w:rPr>
          <w:rFonts w:ascii="Times New Roman" w:cs="Times New Roman" w:eastAsia="Times New Roman" w:hAnsi="Times New Roman"/>
          <w:sz w:val="17"/>
          <w:szCs w:val="17"/>
          <w:color w:val="auto"/>
        </w:rPr>
        <w:t>The Delaware Forum Provision and the Federal Forum Provision may impose additional litigation costs on our stockholders in pursuing any such claims, particularly if such stockholders do not reside in or near the State of Delaware. Additionally, these forum selection clauses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w:t>
      </w:r>
    </w:p>
    <w:p>
      <w:pPr>
        <w:spacing w:after="0" w:line="1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Future sales of a substantial number of shares of our stock could cause our stock price to decline.</w:t>
      </w:r>
    </w:p>
    <w:p>
      <w:pPr>
        <w:spacing w:after="0" w:line="184"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If our existing stockholders sell, or indicate an intention to sell, substantial amounts of our common stock in the public market, the trading price of our common stock could decline. Based on shares outstanding as of March 31, 2026, there are approximately 22,408,345 shares of our common stock outstanding or issuable on exercise of pre-funded warrants to purchase common stock. All outstanding shares of common stock and any shares issuable on exercise of pre-funded warrants or vested options to purchase our common stock, other than shares held by our affiliates or otherwise subject to restrictions on vesting and exercise, are freely tradable, without restriction, in the public market. If a significant number of these shares are sold, the trading price of our common stock could decline.</w:t>
      </w:r>
    </w:p>
    <w:p>
      <w:pPr>
        <w:spacing w:after="0" w:line="149" w:lineRule="exact"/>
        <w:rPr>
          <w:sz w:val="20"/>
          <w:szCs w:val="20"/>
          <w:color w:val="auto"/>
        </w:rPr>
      </w:pPr>
    </w:p>
    <w:p>
      <w:pPr>
        <w:jc w:val="both"/>
        <w:ind w:firstLine="387"/>
        <w:spacing w:after="0" w:line="258" w:lineRule="auto"/>
        <w:rPr>
          <w:sz w:val="20"/>
          <w:szCs w:val="20"/>
          <w:color w:val="auto"/>
        </w:rPr>
      </w:pPr>
      <w:r>
        <w:rPr>
          <w:rFonts w:ascii="Times New Roman" w:cs="Times New Roman" w:eastAsia="Times New Roman" w:hAnsi="Times New Roman"/>
          <w:sz w:val="17"/>
          <w:szCs w:val="17"/>
          <w:color w:val="auto"/>
        </w:rPr>
        <w:t>We have also filed a shelf registration statement covering the sale of up to $300.0 million of any combination of our common stock, preferred stock, debt securities, warrants or units, and may conduct one or more sales of securities pursuant to such registration statement from time to time. In August 2025, we entered into the Sales Agreement with Leerink, pursuant to which we have sold $31.0 million in shares of our common stock as of March 31, 2026 in “at the market” offerings. We may from time to time offer and sell through Leerink up to an additional $119.0 million of the common stock registered under the shelf registration statement pursuant to one or more additional “at the market” offerings. Sales of our common stock under the Sales Agreement with Leerink could be subject to business, economic or competitive uncertainties and contingencies, many of which may be beyond our control, and which could cause actual results from the sale of our common stock to differ materially from expectations.</w:t>
      </w:r>
    </w:p>
    <w:p>
      <w:pPr>
        <w:spacing w:after="0" w:line="200" w:lineRule="exact"/>
        <w:rPr>
          <w:sz w:val="20"/>
          <w:szCs w:val="20"/>
          <w:color w:val="auto"/>
        </w:rPr>
      </w:pPr>
    </w:p>
    <w:p>
      <w:pPr>
        <w:spacing w:after="0" w:line="34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2" w:name="page93"/>
    <w:bookmarkEnd w:id="92"/>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Our executive officers, directors and principal stockholders have the ability to control or significantly influence all matters submitted to our stockholders for approval.</w:t>
      </w:r>
    </w:p>
    <w:p>
      <w:pPr>
        <w:spacing w:after="0" w:line="10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Our executive officers, directors and principal stockholders beneficially own a significant percentage of our outstanding common stock. As a result, if these stockholders were to choose to act together, they would be able to control or significantly influence all matters submitted to our stockholders for approval, as well as our management and affairs. For example, these stockholders, if they choose to act together, would control or significantly influence the election of directors and approval of any merger, consolidation or sale of all or substantially all of our assets. This concentration of voting power could delay or prevent our acquisition on terms that other stockholders may desire.</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We may be exposed to increased litigation, including stockholder litigation, which could have an adverse effect on our business and operations.</w:t>
      </w:r>
    </w:p>
    <w:p>
      <w:pPr>
        <w:spacing w:after="0" w:line="197" w:lineRule="exact"/>
        <w:rPr>
          <w:sz w:val="20"/>
          <w:szCs w:val="20"/>
          <w:color w:val="auto"/>
        </w:rPr>
      </w:pPr>
    </w:p>
    <w:p>
      <w:pPr>
        <w:jc w:val="both"/>
        <w:ind w:firstLine="387"/>
        <w:spacing w:after="0" w:line="261" w:lineRule="auto"/>
        <w:rPr>
          <w:sz w:val="20"/>
          <w:szCs w:val="20"/>
          <w:color w:val="auto"/>
        </w:rPr>
      </w:pPr>
      <w:r>
        <w:rPr>
          <w:rFonts w:ascii="Times New Roman" w:cs="Times New Roman" w:eastAsia="Times New Roman" w:hAnsi="Times New Roman"/>
          <w:sz w:val="17"/>
          <w:szCs w:val="17"/>
          <w:color w:val="auto"/>
        </w:rPr>
        <w:t>We may be exposed to increased litigation from stockholders, suppliers and other third parties, which may have an adverse impact on our business and results of operations or may cause disruptions to our operations. In the past, stockholders have initiated class action lawsuits against biotechnology companies following periods of volatility in the market prices of these companies’ stock or immaterial changes to trial protocols, and we may also be subject to threats of litigation based on our recent merger activity. Such litigation, if instituted against us, could cause us to incur substantial costs and divert management’s attention and resources, which could have a material adverse effect on our business, financial condition and results of operations.</w:t>
      </w:r>
    </w:p>
    <w:p>
      <w:pPr>
        <w:spacing w:after="0" w:line="169" w:lineRule="exact"/>
        <w:rPr>
          <w:sz w:val="20"/>
          <w:szCs w:val="20"/>
          <w:color w:val="auto"/>
        </w:rPr>
      </w:pPr>
    </w:p>
    <w:p>
      <w:pPr>
        <w:jc w:val="both"/>
        <w:ind w:firstLine="309"/>
        <w:spacing w:after="0" w:line="294" w:lineRule="auto"/>
        <w:rPr>
          <w:sz w:val="20"/>
          <w:szCs w:val="20"/>
          <w:color w:val="auto"/>
        </w:rPr>
      </w:pPr>
      <w:r>
        <w:rPr>
          <w:rFonts w:ascii="Times New Roman" w:cs="Times New Roman" w:eastAsia="Times New Roman" w:hAnsi="Times New Roman"/>
          <w:sz w:val="17"/>
          <w:szCs w:val="17"/>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07" w:lineRule="exact"/>
        <w:rPr>
          <w:sz w:val="20"/>
          <w:szCs w:val="20"/>
          <w:color w:val="auto"/>
        </w:rPr>
      </w:pPr>
    </w:p>
    <w:p>
      <w:pPr>
        <w:jc w:val="both"/>
        <w:ind w:firstLine="387"/>
        <w:spacing w:after="0" w:line="260" w:lineRule="auto"/>
        <w:rPr>
          <w:sz w:val="20"/>
          <w:szCs w:val="20"/>
          <w:color w:val="auto"/>
        </w:rPr>
      </w:pPr>
      <w:r>
        <w:rPr>
          <w:rFonts w:ascii="Times New Roman" w:cs="Times New Roman" w:eastAsia="Times New Roman" w:hAnsi="Times New Roman"/>
          <w:sz w:val="17"/>
          <w:szCs w:val="17"/>
          <w:color w:val="auto"/>
        </w:rPr>
        <w:t>The trading market for our common stock will be influenced by the research and reports that equity research analysts publish about us and our business. Equity research analysts may elect to not provide research coverage of our common stock, and such lack of research coverage may adversely affect the market price of our common stock. If we do have equity research analyst 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3. Defaults Upon Senior Securities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Not applicable.</w:t>
      </w:r>
    </w:p>
    <w:p>
      <w:pPr>
        <w:spacing w:after="0" w:line="1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(c) Trading Plans</w:t>
      </w:r>
    </w:p>
    <w:p>
      <w:pPr>
        <w:spacing w:after="0" w:line="120" w:lineRule="exact"/>
        <w:rPr>
          <w:sz w:val="20"/>
          <w:szCs w:val="20"/>
          <w:color w:val="auto"/>
        </w:rPr>
      </w:pPr>
    </w:p>
    <w:p>
      <w:pPr>
        <w:jc w:val="both"/>
        <w:ind w:firstLine="421"/>
        <w:spacing w:after="0" w:line="287" w:lineRule="auto"/>
        <w:rPr>
          <w:sz w:val="20"/>
          <w:szCs w:val="20"/>
          <w:color w:val="auto"/>
        </w:rPr>
      </w:pPr>
      <w:r>
        <w:rPr>
          <w:rFonts w:ascii="Times New Roman" w:cs="Times New Roman" w:eastAsia="Times New Roman" w:hAnsi="Times New Roman"/>
          <w:sz w:val="17"/>
          <w:szCs w:val="17"/>
          <w:color w:val="auto"/>
        </w:rPr>
        <w:t>During the quarter ended March 31, 2026, no director or Section 16 officer adopted, modified or terminated any Rule 10b5-1 trading arrangement or non-Rule 10b5-1 trading arrangement.</w:t>
      </w: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8" w:right="339" w:bottom="1440" w:gutter="0" w:footer="0" w:header="0"/>
        </w:sectPr>
      </w:pPr>
    </w:p>
    <w:bookmarkStart w:id="93" w:name="page94"/>
    <w:bookmarkEnd w:id="93"/>
    <w:p>
      <w:pPr>
        <w:ind w:left="32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63"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3"/>
                <w:szCs w:val="13"/>
                <w:color w:val="auto"/>
              </w:rPr>
            </w:pPr>
          </w:p>
        </w:tc>
        <w:tc>
          <w:tcPr>
            <w:tcW w:w="95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4"/>
        </w:trPr>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20" w:type="dxa"/>
            <w:vAlign w:val="bottom"/>
          </w:tcPr>
          <w:p>
            <w:pPr>
              <w:spacing w:after="0"/>
              <w:rPr>
                <w:sz w:val="15"/>
                <w:szCs w:val="15"/>
                <w:color w:val="auto"/>
              </w:rPr>
            </w:pPr>
          </w:p>
        </w:tc>
        <w:tc>
          <w:tcPr>
            <w:tcW w:w="95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0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5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Certification of the Chief Executive Officer (Principal Executive Officer) pursuant to Rule 13a-14(a)</w:t>
            </w:r>
          </w:p>
        </w:tc>
        <w:tc>
          <w:tcPr>
            <w:tcW w:w="0" w:type="dxa"/>
            <w:vAlign w:val="bottom"/>
          </w:tcPr>
          <w:p>
            <w:pPr>
              <w:spacing w:after="0"/>
              <w:rPr>
                <w:sz w:val="1"/>
                <w:szCs w:val="1"/>
                <w:color w:val="auto"/>
              </w:rPr>
            </w:pPr>
          </w:p>
        </w:tc>
      </w:tr>
      <w:tr>
        <w:trPr>
          <w:trHeight w:val="238"/>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9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Certification of the Chief Financial Officer (Principal Financial Officer) pursuant to Rule 13a-14(a)</w:t>
            </w:r>
          </w:p>
        </w:tc>
        <w:tc>
          <w:tcPr>
            <w:tcW w:w="26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5200" w:type="dxa"/>
            <w:vAlign w:val="bottom"/>
            <w:shd w:val="clear" w:color="auto" w:fill="000000"/>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Certification of Chief Executive Officer (Principal Executive Officer) and Chief Financial Officer (Principal Financial Officer) pursuant to</w:t>
            </w:r>
          </w:p>
        </w:tc>
        <w:tc>
          <w:tcPr>
            <w:tcW w:w="0" w:type="dxa"/>
            <w:vAlign w:val="bottom"/>
          </w:tcPr>
          <w:p>
            <w:pPr>
              <w:spacing w:after="0"/>
              <w:rPr>
                <w:sz w:val="1"/>
                <w:szCs w:val="1"/>
                <w:color w:val="auto"/>
              </w:rPr>
            </w:pPr>
          </w:p>
        </w:tc>
      </w:tr>
      <w:tr>
        <w:trPr>
          <w:trHeight w:val="186"/>
        </w:trPr>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Borders>
              <w:top w:val="single" w:sz="8" w:color="auto"/>
              <w:bottom w:val="single" w:sz="8" w:color="auto"/>
            </w:tcBorders>
          </w:tcPr>
          <w:p>
            <w:pPr>
              <w:spacing w:after="0" w:line="186" w:lineRule="exact"/>
              <w:rPr>
                <w:sz w:val="20"/>
                <w:szCs w:val="20"/>
                <w:color w:val="auto"/>
              </w:rPr>
            </w:pPr>
            <w:r>
              <w:rPr>
                <w:rFonts w:ascii="Times New Roman" w:cs="Times New Roman" w:eastAsia="Times New Roman" w:hAnsi="Times New Roman"/>
                <w:sz w:val="17"/>
                <w:szCs w:val="17"/>
                <w:color w:val="auto"/>
                <w:w w:val="99"/>
              </w:rPr>
              <w:t>18 U.S.C. Section 1350</w:t>
            </w:r>
          </w:p>
        </w:tc>
        <w:tc>
          <w:tcPr>
            <w:tcW w:w="7900" w:type="dxa"/>
            <w:vAlign w:val="bottom"/>
            <w:tcBorders>
              <w:top w:val="single" w:sz="8" w:color="auto"/>
            </w:tcBorders>
            <w:gridSpan w:val="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101.INS</w:t>
            </w:r>
          </w:p>
        </w:tc>
        <w:tc>
          <w:tcPr>
            <w:tcW w:w="20" w:type="dxa"/>
            <w:vAlign w:val="bottom"/>
          </w:tcPr>
          <w:p>
            <w:pPr>
              <w:spacing w:after="0"/>
              <w:rPr>
                <w:sz w:val="24"/>
                <w:szCs w:val="24"/>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58"/>
        </w:trPr>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101.SCH</w:t>
            </w:r>
          </w:p>
        </w:tc>
        <w:tc>
          <w:tcPr>
            <w:tcW w:w="20" w:type="dxa"/>
            <w:vAlign w:val="bottom"/>
          </w:tcPr>
          <w:p>
            <w:pPr>
              <w:spacing w:after="0"/>
              <w:rPr>
                <w:sz w:val="22"/>
                <w:szCs w:val="22"/>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258"/>
        </w:trPr>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101.CAL</w:t>
            </w:r>
          </w:p>
        </w:tc>
        <w:tc>
          <w:tcPr>
            <w:tcW w:w="20" w:type="dxa"/>
            <w:vAlign w:val="bottom"/>
          </w:tcPr>
          <w:p>
            <w:pPr>
              <w:spacing w:after="0"/>
              <w:rPr>
                <w:sz w:val="22"/>
                <w:szCs w:val="22"/>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58"/>
        </w:trPr>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101.DEF</w:t>
            </w:r>
          </w:p>
        </w:tc>
        <w:tc>
          <w:tcPr>
            <w:tcW w:w="20" w:type="dxa"/>
            <w:vAlign w:val="bottom"/>
          </w:tcPr>
          <w:p>
            <w:pPr>
              <w:spacing w:after="0"/>
              <w:rPr>
                <w:sz w:val="22"/>
                <w:szCs w:val="22"/>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58"/>
        </w:trPr>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101.LAB</w:t>
            </w:r>
          </w:p>
        </w:tc>
        <w:tc>
          <w:tcPr>
            <w:tcW w:w="20" w:type="dxa"/>
            <w:vAlign w:val="bottom"/>
          </w:tcPr>
          <w:p>
            <w:pPr>
              <w:spacing w:after="0"/>
              <w:rPr>
                <w:sz w:val="22"/>
                <w:szCs w:val="22"/>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Labels Linkbase Document</w:t>
            </w:r>
          </w:p>
        </w:tc>
        <w:tc>
          <w:tcPr>
            <w:tcW w:w="0" w:type="dxa"/>
            <w:vAlign w:val="bottom"/>
          </w:tcPr>
          <w:p>
            <w:pPr>
              <w:spacing w:after="0"/>
              <w:rPr>
                <w:sz w:val="1"/>
                <w:szCs w:val="1"/>
                <w:color w:val="auto"/>
              </w:rPr>
            </w:pPr>
          </w:p>
        </w:tc>
      </w:tr>
      <w:tr>
        <w:trPr>
          <w:trHeight w:val="258"/>
        </w:trPr>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101.PRE</w:t>
            </w:r>
          </w:p>
        </w:tc>
        <w:tc>
          <w:tcPr>
            <w:tcW w:w="20" w:type="dxa"/>
            <w:vAlign w:val="bottom"/>
          </w:tcPr>
          <w:p>
            <w:pPr>
              <w:spacing w:after="0"/>
              <w:rPr>
                <w:sz w:val="22"/>
                <w:szCs w:val="22"/>
                <w:color w:val="auto"/>
              </w:rPr>
            </w:pPr>
          </w:p>
        </w:tc>
        <w:tc>
          <w:tcPr>
            <w:tcW w:w="9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640" w:hanging="545"/>
        <w:spacing w:after="0"/>
        <w:tabs>
          <w:tab w:leader="none" w:pos="1640"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94" w:lineRule="exact"/>
        <w:rPr>
          <w:rFonts w:ascii="Times New Roman" w:cs="Times New Roman" w:eastAsia="Times New Roman" w:hAnsi="Times New Roman"/>
          <w:sz w:val="17"/>
          <w:szCs w:val="17"/>
          <w:color w:val="auto"/>
        </w:rPr>
      </w:pPr>
    </w:p>
    <w:p>
      <w:pPr>
        <w:ind w:firstLine="309"/>
        <w:spacing w:after="0" w:line="28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69850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324" w:lineRule="exact"/>
        <w:rPr>
          <w:sz w:val="20"/>
          <w:szCs w:val="20"/>
          <w:color w:val="auto"/>
        </w:rPr>
      </w:pPr>
    </w:p>
    <w:p>
      <w:pPr>
        <w:jc w:val="center"/>
        <w:ind w:left="760"/>
        <w:spacing w:after="0" w:line="287"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2480"/>
        <w:spacing w:after="0"/>
        <w:tabs>
          <w:tab w:leader="none" w:pos="4960" w:val="left"/>
        </w:tabs>
        <w:rPr>
          <w:sz w:val="20"/>
          <w:szCs w:val="20"/>
          <w:color w:val="auto"/>
        </w:rPr>
      </w:pPr>
      <w:r>
        <w:rPr>
          <w:rFonts w:ascii="Times New Roman" w:cs="Times New Roman" w:eastAsia="Times New Roman" w:hAnsi="Times New Roman"/>
          <w:sz w:val="17"/>
          <w:szCs w:val="17"/>
          <w:color w:val="auto"/>
        </w:rPr>
        <w:t>Date: May 12, 2026</w:t>
      </w:r>
      <w:r>
        <w:rPr>
          <w:sz w:val="20"/>
          <w:szCs w:val="20"/>
          <w:color w:val="auto"/>
        </w:rPr>
        <w:tab/>
      </w:r>
      <w:r>
        <w:rPr>
          <w:rFonts w:ascii="Times New Roman" w:cs="Times New Roman" w:eastAsia="Times New Roman" w:hAnsi="Times New Roman"/>
          <w:sz w:val="17"/>
          <w:szCs w:val="17"/>
          <w:b w:val="1"/>
          <w:bCs w:val="1"/>
          <w:color w:val="auto"/>
        </w:rPr>
        <w:t>Neurogene Inc.</w:t>
      </w:r>
    </w:p>
    <w:p>
      <w:pPr>
        <w:spacing w:after="0" w:line="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(Registrant)</w:t>
      </w:r>
    </w:p>
    <w:p>
      <w:pPr>
        <w:spacing w:after="0" w:line="3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Rachel McMinn</w:t>
      </w:r>
    </w:p>
    <w:p>
      <w:pPr>
        <w:spacing w:after="0" w:line="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Rachel McMinn, Ph.D.</w:t>
      </w:r>
    </w:p>
    <w:p>
      <w:pPr>
        <w:spacing w:after="0" w:line="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Chief Executive Officer (Principal Executive</w:t>
      </w:r>
    </w:p>
    <w:p>
      <w:pPr>
        <w:spacing w:after="0" w:line="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u w:val="single" w:color="auto"/>
          <w:color w:val="auto"/>
        </w:rPr>
        <w:t>Officer)</w:t>
      </w:r>
    </w:p>
    <w:p>
      <w:pPr>
        <w:spacing w:after="0" w:line="286" w:lineRule="exact"/>
        <w:rPr>
          <w:sz w:val="20"/>
          <w:szCs w:val="20"/>
          <w:color w:val="auto"/>
        </w:rPr>
      </w:pPr>
    </w:p>
    <w:p>
      <w:pPr>
        <w:ind w:left="2480"/>
        <w:spacing w:after="0"/>
        <w:tabs>
          <w:tab w:leader="none" w:pos="4960" w:val="left"/>
        </w:tabs>
        <w:rPr>
          <w:sz w:val="20"/>
          <w:szCs w:val="20"/>
          <w:color w:val="auto"/>
        </w:rPr>
      </w:pPr>
      <w:r>
        <w:rPr>
          <w:rFonts w:ascii="Times New Roman" w:cs="Times New Roman" w:eastAsia="Times New Roman" w:hAnsi="Times New Roman"/>
          <w:sz w:val="17"/>
          <w:szCs w:val="17"/>
          <w:color w:val="auto"/>
        </w:rPr>
        <w:t>Date: May 12, 2026</w:t>
      </w:r>
      <w:r>
        <w:rPr>
          <w:sz w:val="20"/>
          <w:szCs w:val="20"/>
          <w:color w:val="auto"/>
        </w:rPr>
        <w:tab/>
      </w:r>
      <w:r>
        <w:rPr>
          <w:rFonts w:ascii="Times New Roman" w:cs="Times New Roman" w:eastAsia="Times New Roman" w:hAnsi="Times New Roman"/>
          <w:sz w:val="17"/>
          <w:szCs w:val="17"/>
          <w:b w:val="1"/>
          <w:bCs w:val="1"/>
          <w:color w:val="auto"/>
        </w:rPr>
        <w:t>Neurogene Inc.</w:t>
      </w:r>
    </w:p>
    <w:p>
      <w:pPr>
        <w:spacing w:after="0" w:line="6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(Registrant)</w:t>
      </w:r>
    </w:p>
    <w:p>
      <w:pPr>
        <w:spacing w:after="0" w:line="30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Christine Mikail</w:t>
      </w:r>
    </w:p>
    <w:p>
      <w:pPr>
        <w:spacing w:after="0" w:line="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u w:val="single" w:color="auto"/>
          <w:color w:val="auto"/>
        </w:rPr>
        <w:t>Christine Mikail, J.D.</w:t>
      </w:r>
    </w:p>
    <w:p>
      <w:pPr>
        <w:spacing w:after="0" w:line="6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 xml:space="preserve">Title: </w:t>
      </w:r>
      <w:r>
        <w:rPr>
          <w:rFonts w:ascii="Times New Roman" w:cs="Times New Roman" w:eastAsia="Times New Roman" w:hAnsi="Times New Roman"/>
          <w:sz w:val="17"/>
          <w:szCs w:val="17"/>
          <w:u w:val="single" w:color="auto"/>
          <w:color w:val="auto"/>
        </w:rPr>
        <w:t>President and Chief Financial Officer</w:t>
      </w:r>
    </w:p>
    <w:p>
      <w:pPr>
        <w:spacing w:after="0" w:line="2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u w:val="single" w:color="auto"/>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-92-</w:t>
      </w:r>
    </w:p>
    <w:p>
      <w:pPr>
        <w:sectPr>
          <w:pgSz w:w="11900" w:h="16838" w:orient="portrait"/>
          <w:cols w:equalWidth="0" w:num="1">
            <w:col w:w="10800"/>
          </w:cols>
          <w:pgMar w:left="640" w:top="548" w:right="4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Rachel McMinn, certify that:</w:t>
      </w:r>
    </w:p>
    <w:p>
      <w:pPr>
        <w:spacing w:after="0" w:line="114" w:lineRule="exact"/>
        <w:rPr>
          <w:sz w:val="20"/>
          <w:szCs w:val="20"/>
          <w:color w:val="auto"/>
        </w:rPr>
      </w:pPr>
    </w:p>
    <w:p>
      <w:pPr>
        <w:ind w:left="620" w:hanging="617"/>
        <w:spacing w:after="0"/>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of Neurogene Inc:</w:t>
      </w:r>
    </w:p>
    <w:p>
      <w:pPr>
        <w:spacing w:after="0" w:line="113" w:lineRule="exact"/>
        <w:rPr>
          <w:rFonts w:ascii="Times New Roman" w:cs="Times New Roman" w:eastAsia="Times New Roman" w:hAnsi="Times New Roman"/>
          <w:sz w:val="17"/>
          <w:szCs w:val="17"/>
          <w:color w:val="auto"/>
        </w:rPr>
      </w:pPr>
    </w:p>
    <w:p>
      <w:pPr>
        <w:ind w:left="620" w:hanging="617"/>
        <w:spacing w:after="0" w:line="287"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hanging="617"/>
        <w:spacing w:after="0" w:line="287"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jc w:val="both"/>
        <w:ind w:left="620" w:hanging="617"/>
        <w:spacing w:after="0" w:line="270"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3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2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1240" w:hanging="618"/>
        <w:spacing w:after="0" w:line="287" w:lineRule="auto"/>
        <w:tabs>
          <w:tab w:leader="none" w:pos="123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2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hanging="617"/>
        <w:spacing w:after="0" w:line="287" w:lineRule="auto"/>
        <w:tabs>
          <w:tab w:leader="none" w:pos="6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hanging="618"/>
        <w:spacing w:after="0" w:line="287" w:lineRule="auto"/>
        <w:tabs>
          <w:tab w:leader="none" w:pos="1231"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hanging="618"/>
        <w:spacing w:after="0" w:line="287" w:lineRule="auto"/>
        <w:tabs>
          <w:tab w:leader="none" w:pos="1228"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2026</w:t>
      </w:r>
    </w:p>
    <w:p>
      <w:pPr>
        <w:spacing w:after="0" w:line="200" w:lineRule="exact"/>
        <w:rPr>
          <w:sz w:val="20"/>
          <w:szCs w:val="20"/>
          <w:color w:val="auto"/>
        </w:rPr>
      </w:pPr>
    </w:p>
    <w:p>
      <w:pPr>
        <w:spacing w:after="0" w:line="36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 Rachel McMinn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42157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215765" cy="8255"/>
                    </a:xfrm>
                    <a:prstGeom prst="rect">
                      <a:avLst/>
                    </a:prstGeom>
                    <a:noFill/>
                  </pic:spPr>
                </pic:pic>
              </a:graphicData>
            </a:graphic>
          </wp:anchor>
        </w:drawing>
      </w:r>
    </w:p>
    <w:p>
      <w:pPr>
        <w:spacing w:after="0" w:line="17"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Rachel McMinn</w:t>
      </w:r>
    </w:p>
    <w:p>
      <w:pPr>
        <w:spacing w:after="0" w:line="2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i w:val="1"/>
          <w:iCs w:val="1"/>
          <w:color w:val="auto"/>
        </w:rPr>
        <w:t>Chief Executive Officer (Principal Executive Officer)</w:t>
      </w:r>
    </w:p>
    <w:p>
      <w:pPr>
        <w:sectPr>
          <w:pgSz w:w="11900" w:h="16838" w:orient="portrait"/>
          <w:cols w:equalWidth="0" w:num="1">
            <w:col w:w="11240"/>
          </w:cols>
          <w:pgMar w:left="320" w:top="1369"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Christine Mikail, certify that:</w:t>
      </w:r>
    </w:p>
    <w:p>
      <w:pPr>
        <w:spacing w:after="0" w:line="114" w:lineRule="exact"/>
        <w:rPr>
          <w:sz w:val="20"/>
          <w:szCs w:val="20"/>
          <w:color w:val="auto"/>
        </w:rPr>
      </w:pPr>
    </w:p>
    <w:p>
      <w:pPr>
        <w:ind w:left="620" w:hanging="617"/>
        <w:spacing w:after="0"/>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of Neurogene Inc:</w:t>
      </w:r>
    </w:p>
    <w:p>
      <w:pPr>
        <w:spacing w:after="0" w:line="113" w:lineRule="exact"/>
        <w:rPr>
          <w:rFonts w:ascii="Times New Roman" w:cs="Times New Roman" w:eastAsia="Times New Roman" w:hAnsi="Times New Roman"/>
          <w:sz w:val="17"/>
          <w:szCs w:val="17"/>
          <w:color w:val="auto"/>
        </w:rPr>
      </w:pPr>
    </w:p>
    <w:p>
      <w:pPr>
        <w:ind w:left="620" w:hanging="617"/>
        <w:spacing w:after="0" w:line="287"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620" w:hanging="617"/>
        <w:spacing w:after="0" w:line="287"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Times New Roman" w:cs="Times New Roman" w:eastAsia="Times New Roman" w:hAnsi="Times New Roman"/>
          <w:sz w:val="17"/>
          <w:szCs w:val="17"/>
          <w:color w:val="auto"/>
        </w:rPr>
      </w:pPr>
    </w:p>
    <w:p>
      <w:pPr>
        <w:jc w:val="both"/>
        <w:ind w:left="620" w:hanging="617"/>
        <w:spacing w:after="0" w:line="270"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3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2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Times New Roman" w:cs="Times New Roman" w:eastAsia="Times New Roman" w:hAnsi="Times New Roman"/>
          <w:sz w:val="17"/>
          <w:szCs w:val="17"/>
          <w:color w:val="auto"/>
        </w:rPr>
      </w:pPr>
    </w:p>
    <w:p>
      <w:pPr>
        <w:ind w:left="1240" w:hanging="618"/>
        <w:spacing w:after="0" w:line="287" w:lineRule="auto"/>
        <w:tabs>
          <w:tab w:leader="none" w:pos="123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Times New Roman" w:cs="Times New Roman" w:eastAsia="Times New Roman" w:hAnsi="Times New Roman"/>
          <w:sz w:val="17"/>
          <w:szCs w:val="17"/>
          <w:color w:val="auto"/>
        </w:rPr>
      </w:pPr>
    </w:p>
    <w:p>
      <w:pPr>
        <w:jc w:val="both"/>
        <w:ind w:left="1240" w:hanging="618"/>
        <w:spacing w:after="0" w:line="270" w:lineRule="auto"/>
        <w:tabs>
          <w:tab w:leader="none" w:pos="122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Times New Roman" w:cs="Times New Roman" w:eastAsia="Times New Roman" w:hAnsi="Times New Roman"/>
          <w:sz w:val="17"/>
          <w:szCs w:val="17"/>
          <w:color w:val="auto"/>
        </w:rPr>
      </w:pPr>
    </w:p>
    <w:p>
      <w:pPr>
        <w:ind w:left="620" w:hanging="617"/>
        <w:spacing w:after="0" w:line="287" w:lineRule="auto"/>
        <w:tabs>
          <w:tab w:leader="none" w:pos="6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7"/>
          <w:szCs w:val="17"/>
          <w:color w:val="auto"/>
        </w:rPr>
      </w:pPr>
    </w:p>
    <w:p>
      <w:pPr>
        <w:ind w:left="1240" w:hanging="618"/>
        <w:spacing w:after="0" w:line="287" w:lineRule="auto"/>
        <w:tabs>
          <w:tab w:leader="none" w:pos="1231"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Times New Roman" w:cs="Times New Roman" w:eastAsia="Times New Roman" w:hAnsi="Times New Roman"/>
          <w:sz w:val="17"/>
          <w:szCs w:val="17"/>
          <w:color w:val="auto"/>
        </w:rPr>
      </w:pPr>
    </w:p>
    <w:p>
      <w:pPr>
        <w:ind w:left="1240" w:hanging="618"/>
        <w:spacing w:after="0" w:line="287" w:lineRule="auto"/>
        <w:tabs>
          <w:tab w:leader="none" w:pos="122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May 12, 2026</w:t>
      </w:r>
    </w:p>
    <w:p>
      <w:pPr>
        <w:spacing w:after="0" w:line="200" w:lineRule="exact"/>
        <w:rPr>
          <w:sz w:val="20"/>
          <w:szCs w:val="20"/>
          <w:color w:val="auto"/>
        </w:rPr>
      </w:pPr>
    </w:p>
    <w:p>
      <w:pPr>
        <w:spacing w:after="0" w:line="391"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7"/>
          <w:szCs w:val="17"/>
          <w:color w:val="auto"/>
        </w:rPr>
        <w:t>/s/ Christine Mikail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42157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15765" cy="8255"/>
                    </a:xfrm>
                    <a:prstGeom prst="rect">
                      <a:avLst/>
                    </a:prstGeom>
                    <a:noFill/>
                  </pic:spPr>
                </pic:pic>
              </a:graphicData>
            </a:graphic>
          </wp:anchor>
        </w:drawing>
      </w:r>
    </w:p>
    <w:p>
      <w:pPr>
        <w:spacing w:after="0" w:line="55"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Christine Mikail</w:t>
      </w:r>
    </w:p>
    <w:p>
      <w:pPr>
        <w:spacing w:after="0" w:line="2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i w:val="1"/>
          <w:iCs w:val="1"/>
          <w:color w:val="auto"/>
        </w:rPr>
        <w:t>President and Chief Financial Officer (Principal Financial Officer)</w:t>
      </w:r>
    </w:p>
    <w:p>
      <w:pPr>
        <w:sectPr>
          <w:pgSz w:w="11900" w:h="16838" w:orient="portrait"/>
          <w:cols w:equalWidth="0" w:num="1">
            <w:col w:w="11240"/>
          </w:cols>
          <w:pgMar w:left="320" w:top="1370" w:right="339" w:bottom="1440" w:gutter="0" w:footer="0" w:header="0"/>
        </w:sectPr>
      </w:pPr>
    </w:p>
    <w:bookmarkStart w:id="97" w:name="page98"/>
    <w:bookmarkEnd w:id="97"/>
    <w:p>
      <w:pPr>
        <w:spacing w:after="0" w:line="3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1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NEUROGENE INC.</w:t>
      </w:r>
    </w:p>
    <w:p>
      <w:pPr>
        <w:spacing w:after="0" w:line="4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7"/>
          <w:szCs w:val="17"/>
          <w:b w:val="1"/>
          <w:bCs w:val="1"/>
          <w:color w:val="auto"/>
        </w:rPr>
        <w:t>CERTIFICATION PURSUANT TO</w:t>
      </w:r>
    </w:p>
    <w:p>
      <w:pPr>
        <w:spacing w:after="0" w:line="3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7"/>
          <w:szCs w:val="17"/>
          <w:b w:val="1"/>
          <w:bCs w:val="1"/>
          <w:color w:val="auto"/>
        </w:rPr>
        <w:t>18 U.S.C. SECTION 1350,</w:t>
      </w:r>
    </w:p>
    <w:p>
      <w:pPr>
        <w:spacing w:after="0" w:line="4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22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7"/>
          <w:szCs w:val="17"/>
          <w:color w:val="auto"/>
        </w:rPr>
        <w:t>In connection with the Quarterly Report on Form 10-Q of Neurogene Inc. (the “Company”) for the quarter ended March 31, 2026, as filed with the Securities and Exchange Commission on the date hereof (the “Report”), Rachel McMinn, Chief Executive Officer of the Company, and Christine Mikail, President and Chief Financial Officer of the Company, each hereby certify, pursuant to 18 U.S.C. Section 1350, as adopted pursuant to Section 906 of the Sarbanes-Oxley Act of 2002, that, to the best of her knowledge:</w:t>
      </w:r>
    </w:p>
    <w:p>
      <w:pPr>
        <w:spacing w:after="0" w:line="60" w:lineRule="exact"/>
        <w:rPr>
          <w:sz w:val="20"/>
          <w:szCs w:val="20"/>
          <w:color w:val="auto"/>
        </w:rPr>
      </w:pPr>
    </w:p>
    <w:p>
      <w:pPr>
        <w:ind w:left="1240" w:hanging="618"/>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52" w:lineRule="exact"/>
        <w:rPr>
          <w:rFonts w:ascii="Times New Roman" w:cs="Times New Roman" w:eastAsia="Times New Roman" w:hAnsi="Times New Roman"/>
          <w:sz w:val="17"/>
          <w:szCs w:val="17"/>
          <w:color w:val="auto"/>
        </w:rPr>
      </w:pPr>
    </w:p>
    <w:p>
      <w:pPr>
        <w:ind w:left="1240" w:hanging="618"/>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undersigned have set their hands hereto as of May 12, 2026.</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 Rachel McMinn</w:t>
            </w:r>
          </w:p>
        </w:tc>
        <w:tc>
          <w:tcPr>
            <w:tcW w:w="5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Christine Mikail</w:t>
            </w:r>
          </w:p>
        </w:tc>
      </w:tr>
      <w:tr>
        <w:trPr>
          <w:trHeight w:val="205"/>
        </w:trPr>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Rachel McMinn</w:t>
            </w:r>
          </w:p>
        </w:tc>
        <w:tc>
          <w:tcPr>
            <w:tcW w:w="360" w:type="dxa"/>
            <w:vAlign w:val="bottom"/>
          </w:tcPr>
          <w:p>
            <w:pPr>
              <w:spacing w:after="0"/>
              <w:rPr>
                <w:sz w:val="17"/>
                <w:szCs w:val="17"/>
                <w:color w:val="auto"/>
              </w:rPr>
            </w:pPr>
          </w:p>
        </w:tc>
        <w:tc>
          <w:tcPr>
            <w:tcW w:w="54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Christine Mikail</w:t>
            </w:r>
          </w:p>
        </w:tc>
      </w:tr>
      <w:tr>
        <w:trPr>
          <w:trHeight w:val="227"/>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7"/>
                <w:szCs w:val="17"/>
                <w:i w:val="1"/>
                <w:iCs w:val="1"/>
                <w:color w:val="auto"/>
              </w:rPr>
              <w:t>Chief Executive Officer</w:t>
            </w:r>
          </w:p>
        </w:tc>
        <w:tc>
          <w:tcPr>
            <w:tcW w:w="54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Chief Financial Officer</w:t>
            </w:r>
          </w:p>
        </w:tc>
      </w:tr>
    </w:tbl>
    <w:p>
      <w:pPr>
        <w:spacing w:after="0" w:line="200" w:lineRule="exact"/>
        <w:rPr>
          <w:sz w:val="20"/>
          <w:szCs w:val="20"/>
          <w:color w:val="auto"/>
        </w:rPr>
      </w:pPr>
    </w:p>
    <w:p>
      <w:pPr>
        <w:spacing w:after="0" w:line="234"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color w:val="auto"/>
        </w:rPr>
        <w:t>This certification is being furnished solely to accompany the Report pursuant to 18 U.S.C. Section 1350, is not deemed filed with the Securities and Exchange Commission and is not to be incorporated by reference into any filing of Neurogene Inc. under the Securities Act of 1933, as amended, or the Securities Exchange Act of 1934, as amended (whether made before or after the date of the Form 10-Q), irrespective of any general incorporation language contained in such filing.</w:t>
      </w:r>
    </w:p>
    <w:p>
      <w:pPr>
        <w:spacing w:after="0" w:line="199" w:lineRule="exact"/>
        <w:rPr>
          <w:sz w:val="20"/>
          <w:szCs w:val="20"/>
          <w:color w:val="auto"/>
        </w:rPr>
      </w:pPr>
    </w:p>
    <w:p>
      <w:pPr>
        <w:ind w:right="240"/>
        <w:spacing w:after="0" w:line="318" w:lineRule="auto"/>
        <w:rPr>
          <w:sz w:val="20"/>
          <w:szCs w:val="20"/>
          <w:color w:val="auto"/>
        </w:rPr>
      </w:pPr>
      <w:r>
        <w:rPr>
          <w:rFonts w:ascii="Times New Roman" w:cs="Times New Roman" w:eastAsia="Times New Roman" w:hAnsi="Times New Roman"/>
          <w:sz w:val="17"/>
          <w:szCs w:val="17"/>
          <w:color w:val="auto"/>
        </w:rPr>
        <w:t>Note: A signed original of this written statement required by §906 has been provided to Neurogene Inc. and will be retained by Neurogene Inc. and furnished to the Securities and Exchange Commission or its staff upon request.</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2"/>
    </w:lvl>
  </w:abstractNum>
  <w:abstractNum w:abstractNumId="4">
    <w:nsid w:val="62BBD95A"/>
    <w:multiLevelType w:val="hybridMultilevel"/>
    <w:lvl w:ilvl="0">
      <w:lvlJc w:val="left"/>
      <w:lvlText w:val="%1."/>
      <w:numFmt w:val="decimal"/>
      <w:start w:val="3"/>
    </w:lvl>
  </w:abstractNum>
  <w:abstractNum w:abstractNumId="5">
    <w:nsid w:val="436C6125"/>
    <w:multiLevelType w:val="hybridMultilevel"/>
    <w:lvl w:ilvl="0">
      <w:lvlJc w:val="left"/>
      <w:lvlText w:val="%1."/>
      <w:numFmt w:val="decimal"/>
      <w:start w:val="4"/>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6"/>
    </w:lvl>
  </w:abstractNum>
  <w:abstractNum w:abstractNumId="8">
    <w:nsid w:val="721DA317"/>
    <w:multiLevelType w:val="hybridMultilevel"/>
    <w:lvl w:ilvl="0">
      <w:lvlJc w:val="left"/>
      <w:lvlText w:val="%1."/>
      <w:numFmt w:val="decimal"/>
      <w:start w:val="7"/>
    </w:lvl>
  </w:abstractNum>
  <w:abstractNum w:abstractNumId="9">
    <w:nsid w:val="2443A858"/>
    <w:multiLevelType w:val="hybridMultilevel"/>
    <w:lvl w:ilvl="0">
      <w:lvlJc w:val="left"/>
      <w:lvlText w:val="%1."/>
      <w:numFmt w:val="decimal"/>
      <w:start w:val="8"/>
    </w:lvl>
  </w:abstractNum>
  <w:abstractNum w:abstractNumId="10">
    <w:nsid w:val="2D1D5AE9"/>
    <w:multiLevelType w:val="hybridMultilevel"/>
    <w:lvl w:ilvl="0">
      <w:lvlJc w:val="left"/>
      <w:lvlText w:val="%1."/>
      <w:numFmt w:val="decimal"/>
      <w:start w:val="9"/>
    </w:lvl>
  </w:abstractNum>
  <w:abstractNum w:abstractNumId="11">
    <w:nsid w:val="6763845E"/>
    <w:multiLevelType w:val="hybridMultilevel"/>
    <w:lvl w:ilvl="0">
      <w:lvlJc w:val="left"/>
      <w:lvlText w:val="%1."/>
      <w:numFmt w:val="decimal"/>
      <w:start w:val="10"/>
    </w:lvl>
  </w:abstractNum>
  <w:abstractNum w:abstractNumId="12">
    <w:nsid w:val="75A2A8D4"/>
    <w:multiLevelType w:val="hybridMultilevel"/>
    <w:lvl w:ilvl="0">
      <w:lvlJc w:val="left"/>
      <w:lvlText w:val="%1."/>
      <w:numFmt w:val="decimal"/>
      <w:start w:val="11"/>
    </w:lvl>
  </w:abstractNum>
  <w:abstractNum w:abstractNumId="13">
    <w:nsid w:val="8EDBDAB"/>
    <w:multiLevelType w:val="hybridMultilevel"/>
    <w:lvl w:ilvl="0">
      <w:lvlJc w:val="left"/>
      <w:lvlText w:val="(%1)"/>
      <w:numFmt w:val="lowerLetter"/>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lvl w:ilvl="1">
      <w:lvlJc w:val="left"/>
      <w:lvlText w:val="%2"/>
      <w:numFmt w:val="decimal"/>
      <w:start w:val="104"/>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2026-05-12T15:19:48Z</dcterms:created>
  <dcterms:modified xsi:type="dcterms:W3CDTF">2026-05-12T15:19:48Z</dcterms:modified>
</cp:coreProperties>
</file>