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Neurogene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1,572,202.00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1,572,202.00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1,572,202.00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$0.000001 par value, of the Issuer (the "Common Stock") that are or may be deemed beneficially owned by Redmile Group, LLC and the calculation of the percent of such class of securities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Jeremy C. Green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1,572,202.00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1,572,202.00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1,572,202.00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that are or may be deemed beneficially owned by Jeremy Green and the calculation of the percent of such class of securities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Biopharma Investments 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812,033.00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812,033.00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812,033.00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that are or may be deemed beneficially owned by Redmile Biopharma Investments I, L.P. and the calculation of the percent of such class of securities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Neurogene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 W 24th Street, 5th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Redmile Group, LLC Jeremy C. Green Redmile Biopharma Investments I, L.P.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Redmile Group, LLC 900 Larkspur Landing Circle, Suite 270 Larkspur, California 94939 Jeremy C. Green c/o Redmile Group, LLC (NY Office) 45 W. 27th Street, Floor 11 New York, NY 10001 Redmile Biopharma Investments I, L.P. c/o Redmile Group, LLC 900 Larkspur Landing Circle, Suite 270 Larkspur, California 94939</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Redmile Group, LLC: Delaware Jeremy C. Green: United Kingdom Redmile Biopharma Investments I, L.P.: Delaware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$0.000001 par value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Redmile Group, LLC - 1,572,202 (1) Jeremy C. Green - 1,572,202 (1) Redmile Biopharma Investments I, L.P. - 812,033 (2)</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Redmile Group, LLC - 9.9% (3) Jeremy C. Green - 9.9% (3) Redmile Biopharma Investments I, L.P. - 5.1% (3)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Redmile Group, LLC - 0 Jeremy C. Green - 0 Redmile Biopharma Investments 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Redmile Group, LLC - 1,572,202 (1) Jeremy C. Green - 1,572,202 (1) Redmile Biopharma Investments I, L.P. - 812,033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Redmile Group, LLC - 0 Jeremy C. Green - 0 Redmile Biopharma Investments 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Redmile Group, LLC - 1,572,202 (1) Jeremy C. Green - 1,572,202 (1) Redmile Biopharma Investments I, L.P. - 812,033 (2) (1) Redmile's and Jeremy C. Green's beneficial ownership of the Issuer's Common Stock is comprised of (i) 1,412,199 shares of Common Stock and (ii) 160,003 shares of Common Stock issuable upon exercise of certain pre-funded warrants to purchase Common Stock (the "Warrants"). All of such shares of Common Stock and the Warrants are directly owned by certain investment vehicles, including Redmile Biopharma Investments I, L.P. ("RBI I"), for which Redmile is the investment manager (the "Redmile Funds"). Redmile may be deemed to beneficially own these securities in its capacity as their investment manager with discretion to vote and dispose of all shares of Common Stock held by the Redmile Funds. Mr. Green also may be deemed to beneficially own these securities as the principal of Redmile. Redmile and Mr. Green each disclaims beneficial ownership of these securities, except to the extent of its or his pecuniary interest in such securities, if any. (2) RBI I may be deemed to beneficially own (i) 652,030 shares of Common Stock, and (ii) 160,003 shares of Common Stock issuable upon exercise of the Warrants directly held by RBI I. (3) Percentage based on: (i) 15,801,901 shares of Common Stock outstanding as of May 8, 2026, as reported in the Form 10-Q for the quarterly period ended March 31, 2026 filed with the SEC on May 12, 2026; plus (ii) 160,003 shares of Common Stock issuable upon exercise of the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the response to Item 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Redmile Biopharma Investments I, L.P.</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13"/>
              <w:gridCol w:w="8992"/>
            </w:tblGrid>
            <w:tr>
              <w:trPr/>
              <w:tc>
                <w:tcPr>
                  <w:tcW w:w="1213" w:type="dxa"/>
                  <w:tcBorders/>
                  <w:vAlign w:val="center"/>
                </w:tcPr>
                <w:p>
                  <w:pPr>
                    <w:pStyle w:val="TableContents"/>
                    <w:bidi w:val="0"/>
                    <w:spacing w:before="0" w:after="283"/>
                    <w:jc w:val="left"/>
                    <w:rPr/>
                  </w:pPr>
                  <w:r>
                    <w:rPr/>
                    <w:t>Signature:</w:t>
                  </w:r>
                </w:p>
              </w:tc>
              <w:tc>
                <w:tcPr>
                  <w:tcW w:w="8992" w:type="dxa"/>
                  <w:tcBorders/>
                  <w:vAlign w:val="center"/>
                </w:tcPr>
                <w:p>
                  <w:pPr>
                    <w:pStyle w:val="TableContents"/>
                    <w:bidi w:val="0"/>
                    <w:spacing w:before="0" w:after="283"/>
                    <w:jc w:val="left"/>
                    <w:rPr/>
                  </w:pPr>
                  <w:r>
                    <w:rPr/>
                    <w:t>/s/ Jeremy C. Green</w:t>
                  </w:r>
                </w:p>
              </w:tc>
            </w:tr>
            <w:tr>
              <w:trPr/>
              <w:tc>
                <w:tcPr>
                  <w:tcW w:w="1213" w:type="dxa"/>
                  <w:tcBorders/>
                  <w:vAlign w:val="center"/>
                </w:tcPr>
                <w:p>
                  <w:pPr>
                    <w:pStyle w:val="TableContents"/>
                    <w:bidi w:val="0"/>
                    <w:spacing w:before="0" w:after="283"/>
                    <w:jc w:val="left"/>
                    <w:rPr/>
                  </w:pPr>
                  <w:r>
                    <w:rPr/>
                    <w:t>Name/Title:</w:t>
                  </w:r>
                </w:p>
              </w:tc>
              <w:tc>
                <w:tcPr>
                  <w:tcW w:w="8992" w:type="dxa"/>
                  <w:tcBorders/>
                  <w:vAlign w:val="center"/>
                </w:tcPr>
                <w:p>
                  <w:pPr>
                    <w:pStyle w:val="TableContents"/>
                    <w:bidi w:val="0"/>
                    <w:spacing w:before="0" w:after="283"/>
                    <w:jc w:val="left"/>
                    <w:rPr/>
                  </w:pPr>
                  <w:r>
                    <w:rPr/>
                    <w:t>Managing Member of Redmile Group, LLC, Managing Member of Redmile Biopharma Investments I (GP), LLC, General Partner of Redmile Biopharma Investments</w:t>
                  </w:r>
                </w:p>
              </w:tc>
            </w:tr>
            <w:tr>
              <w:trPr/>
              <w:tc>
                <w:tcPr>
                  <w:tcW w:w="1213" w:type="dxa"/>
                  <w:tcBorders/>
                  <w:vAlign w:val="center"/>
                </w:tcPr>
                <w:p>
                  <w:pPr>
                    <w:pStyle w:val="TableContents"/>
                    <w:bidi w:val="0"/>
                    <w:spacing w:before="0" w:after="283"/>
                    <w:jc w:val="left"/>
                    <w:rPr/>
                  </w:pPr>
                  <w:r>
                    <w:rPr/>
                    <w:t>Date:</w:t>
                  </w:r>
                </w:p>
              </w:tc>
              <w:tc>
                <w:tcPr>
                  <w:tcW w:w="899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1623</Words>
  <Characters>8271</Characters>
  <CharactersWithSpaces>9844</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