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1645412.xml.htm"/>
      <w:bookmarkStart w:id="1" w:name="kswkform3a_178164541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Woods Keith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NEUROGENE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 W 24TH ST,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12/18/2023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Neurogene Inc.</w:t>
              </w:r>
            </w:hyperlink>
            <w:r>
              <w:rPr/>
              <w:t xml:space="preserve"> [ </w:t>
            </w:r>
            <w:r>
              <w:rPr>
                <w:rFonts w:ascii="Times;serif" w:hAnsi="Times;serif"/>
                <w:color w:val="0000FF"/>
                <w:sz w:val="24"/>
                <w:shd w:fill="FFFFFF" w:val="clear"/>
              </w:rPr>
              <w:t>NGNE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12/26/2023</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was originally filed on December 26, 2023 using the incorrect CIK number for the Reporting Person and is being refiled under the correct CIK number. This filing amends and replaces the original filing in its entirety.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Donna M. Cochener, Attorney-in-Fact for Keith Woods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96804" TargetMode="External"/><Relationship Id="rId3" Type="http://schemas.openxmlformats.org/officeDocument/2006/relationships/hyperlink" Target="http://www.sec.gov/cgi-bin/browse-edgar?action=getcompany&amp;CIK=000140464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433</Words>
  <Characters>2374</Characters>
  <CharactersWithSpaces>2768</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