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21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Woods Keith</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Neurogene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NGNE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06/12/2025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NEUROGENE INC.</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535 W 24TH ST, 5TH FLOOR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10011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06/12/2025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12,050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06/12/2035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12,050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12,050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is fully vested.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240"/>
        <w:spacing w:after="0" w:line="255" w:lineRule="auto"/>
        <w:rPr>
          <w:sz w:val="20"/>
          <w:szCs w:val="20"/>
          <w:color w:val="auto"/>
        </w:rPr>
      </w:pPr>
      <w:r>
        <w:rPr>
          <w:rFonts w:ascii="Times New Roman" w:cs="Times New Roman" w:eastAsia="Times New Roman" w:hAnsi="Times New Roman"/>
          <w:sz w:val="13"/>
          <w:szCs w:val="13"/>
          <w:color w:val="008000"/>
        </w:rPr>
        <w:t>This Form 4 was originally filed on June 13, 2025 using the incorrect CIK number for the Reporting Person and is being refiled under the correct CIK number. This filing amends and replaces the original filing in its entirety.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Donna M. Cochener,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15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Keith</w:t>
      </w:r>
      <w:r>
        <w:rPr>
          <w:sz w:val="20"/>
          <w:szCs w:val="20"/>
          <w:color w:val="auto"/>
        </w:rPr>
        <w:tab/>
      </w:r>
      <w:r>
        <w:rPr>
          <w:rFonts w:ascii="Times New Roman" w:cs="Times New Roman" w:eastAsia="Times New Roman" w:hAnsi="Times New Roman"/>
          <w:sz w:val="16"/>
          <w:szCs w:val="16"/>
          <w:color w:val="0000FF"/>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2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73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Rachel McMinn, Christine Mikail, Donna M. Cochener, Ryan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Murr and Branden C. Berns, and any of their substitutes, signing singly, as the undersigned’s true and lawful attorney-in-fact to:</w:t>
      </w:r>
    </w:p>
    <w:p>
      <w:pPr>
        <w:spacing w:after="0" w:line="187" w:lineRule="exact"/>
        <w:rPr>
          <w:sz w:val="20"/>
          <w:szCs w:val="20"/>
          <w:color w:val="auto"/>
        </w:rPr>
      </w:pPr>
    </w:p>
    <w:p>
      <w:pPr>
        <w:jc w:val="both"/>
        <w:ind w:left="320" w:right="20" w:hanging="317"/>
        <w:spacing w:after="0" w:line="233"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U.S. Securities and Exchange Commission (the “SEC”) a Form ID, including amendments thereto, and any other document necessary or appropriate to obtain codes, passwords, and passphrases enabling the undersigned to make electronic filings with the SEC of reports require by the Securities Exchange Act of 1934 or any rule or regulation of the SEC;</w:t>
      </w:r>
    </w:p>
    <w:p>
      <w:pPr>
        <w:spacing w:after="0" w:line="152" w:lineRule="exact"/>
        <w:rPr>
          <w:rFonts w:ascii="Times New Roman" w:cs="Times New Roman" w:eastAsia="Times New Roman" w:hAnsi="Times New Roman"/>
          <w:sz w:val="17"/>
          <w:szCs w:val="17"/>
          <w:color w:val="auto"/>
        </w:rPr>
      </w:pPr>
    </w:p>
    <w:p>
      <w:pPr>
        <w:ind w:left="320" w:hanging="317"/>
        <w:spacing w:after="0" w:line="239"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 director, officer and/or ten percent stockholder of Neurogene Inc. (the “Company”), Forms 3, 4, and 5 in accordance with Section 16(a) of the Securities Exchange Act of 1934 and the rules thereunder;</w:t>
      </w:r>
    </w:p>
    <w:p>
      <w:pPr>
        <w:spacing w:after="0" w:line="165" w:lineRule="exact"/>
        <w:rPr>
          <w:rFonts w:ascii="Times New Roman" w:cs="Times New Roman" w:eastAsia="Times New Roman" w:hAnsi="Times New Roman"/>
          <w:sz w:val="17"/>
          <w:szCs w:val="17"/>
          <w:color w:val="auto"/>
        </w:rPr>
      </w:pPr>
    </w:p>
    <w:p>
      <w:pPr>
        <w:jc w:val="both"/>
        <w:ind w:left="320" w:hanging="317"/>
        <w:spacing w:after="0"/>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securities exchange or similar authority; and</w:t>
      </w:r>
    </w:p>
    <w:p>
      <w:pPr>
        <w:spacing w:after="0" w:line="331" w:lineRule="exact"/>
        <w:rPr>
          <w:rFonts w:ascii="Times New Roman" w:cs="Times New Roman" w:eastAsia="Times New Roman" w:hAnsi="Times New Roman"/>
          <w:sz w:val="17"/>
          <w:szCs w:val="17"/>
          <w:color w:val="auto"/>
        </w:rPr>
      </w:pPr>
    </w:p>
    <w:p>
      <w:pPr>
        <w:jc w:val="both"/>
        <w:ind w:left="320" w:hanging="317"/>
        <w:spacing w:after="0" w:line="226"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6" w:lineRule="exact"/>
        <w:rPr>
          <w:sz w:val="20"/>
          <w:szCs w:val="20"/>
          <w:color w:val="auto"/>
        </w:rPr>
      </w:pPr>
    </w:p>
    <w:p>
      <w:pPr>
        <w:jc w:val="both"/>
        <w:ind w:firstLine="205"/>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spacing w:after="0" w:line="176" w:lineRule="exact"/>
        <w:rPr>
          <w:sz w:val="20"/>
          <w:szCs w:val="20"/>
          <w:color w:val="auto"/>
        </w:rPr>
      </w:pPr>
    </w:p>
    <w:p>
      <w:pPr>
        <w:jc w:val="both"/>
        <w:ind w:firstLine="261"/>
        <w:spacing w:after="0" w:line="270"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each of the foregoing attorneys-in-fact.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June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By: /s/ Robert Keith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-6350</wp:posOffset>
            </wp:positionV>
            <wp:extent cx="1134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Name: Robert Keith Woods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6804"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2026-06-16T16:38:55Z</dcterms:created>
  <dcterms:modified xsi:type="dcterms:W3CDTF">2026-06-16T16:38:55Z</dcterms:modified>
</cp:coreProperties>
</file>