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ind w:left="0" w:right="0" w:firstLine="36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60" w:after="283"/>
        <w:ind w:left="0" w:right="0" w:firstLine="360"/>
        <w:jc w:val="center"/>
        <w:rPr>
          <w:rFonts w:ascii="Times New Roman;serif" w:hAnsi="Times New Roman;serif"/>
          <w:b/>
          <w:color w:val="181717"/>
          <w:sz w:val="36"/>
        </w:rPr>
      </w:pPr>
      <w:r>
        <w:rPr>
          <w:rFonts w:ascii="Times New Roman;serif" w:hAnsi="Times New Roman;serif"/>
          <w:b/>
          <w:color w:val="181717"/>
          <w:sz w:val="36"/>
        </w:rPr>
        <w:t>UNITED STATES</w:t>
      </w:r>
    </w:p>
    <w:p>
      <w:pPr>
        <w:pStyle w:val="TextBody"/>
        <w:bidi w:val="0"/>
        <w:spacing w:lineRule="auto" w:line="333" w:before="200" w:after="283"/>
        <w:ind w:left="0" w:right="0" w:firstLine="360"/>
        <w:jc w:val="center"/>
        <w:rPr>
          <w:rFonts w:ascii="Times New Roman;serif" w:hAnsi="Times New Roman;serif"/>
          <w:b/>
          <w:color w:val="181717"/>
          <w:sz w:val="36"/>
        </w:rPr>
      </w:pPr>
      <w:r>
        <w:rPr>
          <w:rFonts w:ascii="Times New Roman;serif" w:hAnsi="Times New Roman;serif"/>
          <w:b/>
          <w:color w:val="181717"/>
          <w:sz w:val="36"/>
        </w:rPr>
        <w:t>SECURITIES AND EXCHANGE COMMISSION</w:t>
      </w:r>
    </w:p>
    <w:p>
      <w:pPr>
        <w:pStyle w:val="TextBody"/>
        <w:bidi w:val="0"/>
        <w:spacing w:lineRule="auto" w:line="333" w:before="200" w:after="283"/>
        <w:ind w:left="0" w:right="0" w:firstLine="360"/>
        <w:jc w:val="center"/>
        <w:rPr>
          <w:rFonts w:ascii="Times New Roman;serif" w:hAnsi="Times New Roman;serif"/>
          <w:b/>
          <w:color w:val="181717"/>
          <w:sz w:val="28"/>
        </w:rPr>
      </w:pPr>
      <w:r>
        <w:rPr>
          <w:rFonts w:ascii="Times New Roman;serif" w:hAnsi="Times New Roman;serif"/>
          <w:b/>
          <w:color w:val="181717"/>
          <w:sz w:val="28"/>
        </w:rPr>
        <w:t>Washington, D.C. 20549</w:t>
      </w:r>
    </w:p>
    <w:p>
      <w:pPr>
        <w:pStyle w:val="TextBody"/>
        <w:bidi w:val="0"/>
        <w:spacing w:lineRule="auto" w:line="333" w:before="200" w:after="283"/>
        <w:ind w:left="0" w:right="0" w:firstLine="36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__________________________________________________</w:t>
      </w:r>
    </w:p>
    <w:p>
      <w:pPr>
        <w:pStyle w:val="TextBody"/>
        <w:bidi w:val="0"/>
        <w:spacing w:lineRule="auto" w:line="333" w:before="120" w:after="283"/>
        <w:ind w:left="0" w:right="0" w:firstLine="360"/>
        <w:jc w:val="center"/>
        <w:rPr/>
      </w:pPr>
      <w:r>
        <w:rPr>
          <w:rFonts w:ascii="Times New Roman;serif" w:hAnsi="Times New Roman;serif"/>
          <w:b/>
          <w:color w:val="181717"/>
          <w:sz w:val="36"/>
        </w:rPr>
        <w:t>FORM</w:t>
      </w:r>
      <w:r>
        <w:rPr>
          <w:color w:val="000000"/>
        </w:rPr>
        <w:t xml:space="preserve"> </w:t>
      </w:r>
      <w:r>
        <w:rPr>
          <w:rFonts w:ascii="Times New Roman;serif" w:hAnsi="Times New Roman;serif"/>
          <w:b/>
          <w:color w:val="000000"/>
          <w:sz w:val="36"/>
        </w:rPr>
        <w:t>10-Q</w:t>
      </w:r>
    </w:p>
    <w:p>
      <w:pPr>
        <w:pStyle w:val="TextBody"/>
        <w:bidi w:val="0"/>
        <w:spacing w:lineRule="auto" w:line="333" w:before="200" w:after="283"/>
        <w:ind w:left="0" w:right="0" w:firstLine="36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w:t>
      </w:r>
    </w:p>
    <w:p>
      <w:pPr>
        <w:pStyle w:val="TextBody"/>
        <w:bidi w:val="0"/>
        <w:spacing w:lineRule="auto" w:line="333" w:before="120" w:after="10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333"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333" w:before="120" w:after="220"/>
        <w:ind w:left="0" w:right="0" w:firstLine="360"/>
        <w:jc w:val="center"/>
        <w:rPr>
          <w:rFonts w:ascii="Times New Roman;serif" w:hAnsi="Times New Roman;serif"/>
          <w:b/>
          <w:color w:val="000000"/>
          <w:sz w:val="20"/>
        </w:rPr>
      </w:pPr>
      <w:r>
        <w:rPr>
          <w:rFonts w:ascii="Times New Roman;serif" w:hAnsi="Times New Roman;serif"/>
          <w:b/>
          <w:color w:val="000000"/>
          <w:sz w:val="20"/>
        </w:rPr>
        <w:t>OR</w:t>
      </w:r>
    </w:p>
    <w:tbl>
      <w:tblPr>
        <w:tblW w:w="9177" w:type="dxa"/>
        <w:jc w:val="left"/>
        <w:tblInd w:w="0" w:type="dxa"/>
        <w:tblLayout w:type="fixed"/>
        <w:tblCellMar>
          <w:top w:w="28" w:type="dxa"/>
          <w:left w:w="28" w:type="dxa"/>
          <w:bottom w:w="28" w:type="dxa"/>
          <w:right w:w="28" w:type="dxa"/>
        </w:tblCellMar>
      </w:tblPr>
      <w:tblGrid>
        <w:gridCol w:w="124"/>
        <w:gridCol w:w="109"/>
        <w:gridCol w:w="109"/>
        <w:gridCol w:w="2587"/>
        <w:gridCol w:w="2587"/>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ACT OF 1934</w:t>
            </w:r>
          </w:p>
        </w:tc>
      </w:tr>
    </w:tbl>
    <w:p>
      <w:pPr>
        <w:pStyle w:val="TextBody"/>
        <w:bidi w:val="0"/>
        <w:spacing w:lineRule="auto" w:line="333"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For the transition period from ________ to ________</w:t>
      </w:r>
    </w:p>
    <w:p>
      <w:pPr>
        <w:pStyle w:val="TextBody"/>
        <w:bidi w:val="0"/>
        <w:spacing w:lineRule="auto" w:line="333" w:before="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Commission file number:             001-36327</w:t>
      </w:r>
    </w:p>
    <w:p>
      <w:pPr>
        <w:pStyle w:val="TextBody"/>
        <w:bidi w:val="0"/>
        <w:spacing w:lineRule="auto" w:line="333" w:before="200" w:after="283"/>
        <w:ind w:left="0" w:right="0" w:firstLine="36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__________________________________________________</w:t>
      </w:r>
    </w:p>
    <w:p>
      <w:pPr>
        <w:pStyle w:val="TextBody"/>
        <w:bidi w:val="0"/>
        <w:spacing w:lineRule="auto" w:line="333" w:before="120" w:after="283"/>
        <w:ind w:left="0" w:right="0" w:firstLine="360"/>
        <w:jc w:val="center"/>
        <w:rPr>
          <w:rFonts w:ascii="Times New Roman;serif" w:hAnsi="Times New Roman;serif"/>
          <w:b/>
          <w:color w:val="181717"/>
          <w:sz w:val="36"/>
        </w:rPr>
      </w:pPr>
      <w:r>
        <w:rPr>
          <w:rFonts w:ascii="Times New Roman;serif" w:hAnsi="Times New Roman;serif"/>
          <w:b/>
          <w:color w:val="181717"/>
          <w:sz w:val="36"/>
        </w:rPr>
        <w:t>Neurogene Inc.</w:t>
      </w:r>
    </w:p>
    <w:p>
      <w:pPr>
        <w:pStyle w:val="TextBody"/>
        <w:bidi w:val="0"/>
        <w:spacing w:lineRule="auto" w:line="333" w:before="200" w:after="283"/>
        <w:ind w:left="0" w:right="0" w:firstLine="360"/>
        <w:jc w:val="center"/>
        <w:rPr>
          <w:rFonts w:ascii="Times New Roman;serif" w:hAnsi="Times New Roman;serif"/>
          <w:b/>
          <w:color w:val="181717"/>
          <w:sz w:val="20"/>
        </w:rPr>
      </w:pPr>
      <w:r>
        <w:rPr>
          <w:rFonts w:ascii="Times New Roman;serif" w:hAnsi="Times New Roman;serif"/>
          <w:b/>
          <w:color w:val="181717"/>
          <w:sz w:val="20"/>
        </w:rPr>
        <w:t>__________________________________</w:t>
      </w:r>
    </w:p>
    <w:p>
      <w:pPr>
        <w:pStyle w:val="TextBody"/>
        <w:bidi w:val="0"/>
        <w:spacing w:lineRule="auto" w:line="333" w:before="120" w:after="283"/>
        <w:ind w:left="0" w:right="0" w:firstLine="360"/>
        <w:jc w:val="center"/>
        <w:rPr>
          <w:rFonts w:ascii="Times New Roman;serif" w:hAnsi="Times New Roman;serif"/>
          <w:b/>
          <w:color w:val="181717"/>
          <w:sz w:val="20"/>
        </w:rPr>
      </w:pPr>
      <w:r>
        <w:rPr>
          <w:rFonts w:ascii="Times New Roman;serif" w:hAnsi="Times New Roman;serif"/>
          <w:b/>
          <w:color w:val="181717"/>
          <w:sz w:val="20"/>
        </w:rPr>
        <w:t>(Exact name of registrant as specified in its charter)</w:t>
      </w:r>
    </w:p>
    <w:tbl>
      <w:tblPr>
        <w:tblW w:w="8648"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98-0542593</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535 W 24th St.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5th Floor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10011</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33"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(855) 508-3568</w:t>
      </w:r>
    </w:p>
    <w:p>
      <w:pPr>
        <w:pStyle w:val="TextBody"/>
        <w:bidi w:val="0"/>
        <w:spacing w:lineRule="auto" w:line="333" w:before="60" w:after="283"/>
        <w:ind w:left="0" w:right="0" w:firstLine="360"/>
        <w:jc w:val="center"/>
        <w:rPr>
          <w:rFonts w:ascii="Times New Roman;serif" w:hAnsi="Times New Roman;serif"/>
          <w:b w:val="false"/>
          <w:color w:val="181717"/>
          <w:sz w:val="20"/>
        </w:rPr>
      </w:pPr>
      <w:r>
        <w:rPr>
          <w:rFonts w:ascii="Times New Roman;serif" w:hAnsi="Times New Roman;serif"/>
          <w:b w:val="false"/>
          <w:color w:val="181717"/>
          <w:sz w:val="20"/>
        </w:rPr>
        <w:t>Registrant’s telephone number, including area code</w:t>
      </w:r>
    </w:p>
    <w:p>
      <w:pPr>
        <w:pStyle w:val="TextBody"/>
        <w:bidi w:val="0"/>
        <w:spacing w:lineRule="auto" w:line="333" w:before="120" w:after="283"/>
        <w:ind w:left="0" w:right="0" w:firstLine="360"/>
        <w:jc w:val="both"/>
        <w:rPr>
          <w:rFonts w:ascii="Times New Roman;serif" w:hAnsi="Times New Roman;serif"/>
          <w:b w:val="false"/>
          <w:color w:val="181717"/>
          <w:sz w:val="20"/>
        </w:rPr>
      </w:pPr>
      <w:r>
        <w:rPr>
          <w:rFonts w:ascii="Times New Roman;serif" w:hAnsi="Times New Roman;serif"/>
          <w:b w:val="false"/>
          <w:color w:val="181717"/>
          <w:sz w:val="20"/>
        </w:rPr>
        <w:t>Securities registered pursuant to Section 12(b) of the Act:</w:t>
      </w:r>
    </w:p>
    <w:tbl>
      <w:tblPr>
        <w:tblW w:w="9208" w:type="dxa"/>
        <w:jc w:val="left"/>
        <w:tblInd w:w="0" w:type="dxa"/>
        <w:tblLayout w:type="fixed"/>
        <w:tblCellMar>
          <w:top w:w="28" w:type="dxa"/>
          <w:left w:w="28" w:type="dxa"/>
          <w:bottom w:w="28" w:type="dxa"/>
          <w:right w:w="28" w:type="dxa"/>
        </w:tblCellMar>
      </w:tblPr>
      <w:tblGrid>
        <w:gridCol w:w="1407"/>
        <w:gridCol w:w="1231"/>
        <w:gridCol w:w="1246"/>
        <w:gridCol w:w="539"/>
        <w:gridCol w:w="539"/>
        <w:gridCol w:w="541"/>
        <w:gridCol w:w="1085"/>
        <w:gridCol w:w="1085"/>
        <w:gridCol w:w="1535"/>
      </w:tblGrid>
      <w:tr>
        <w:trPr/>
        <w:tc>
          <w:tcPr>
            <w:tcW w:w="140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8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NGNE</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bl>
    <w:p>
      <w:pPr>
        <w:pStyle w:val="TextBody"/>
        <w:bidi w:val="0"/>
        <w:spacing w:before="120" w:after="283"/>
        <w:ind w:left="0" w:right="0" w:firstLine="360"/>
        <w:jc w:val="center"/>
        <w:rPr/>
      </w:pPr>
      <w:r>
        <w:rPr/>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before="200" w:after="283"/>
        <w:ind w:left="0" w:right="0" w:firstLine="360"/>
        <w:jc w:val="left"/>
        <w:rPr/>
      </w:pPr>
      <w:r>
        <w:rPr/>
      </w:r>
    </w:p>
    <w:p>
      <w:pPr>
        <w:pStyle w:val="TextBody"/>
        <w:bidi w:val="0"/>
        <w:spacing w:lineRule="auto" w:line="288" w:before="200" w:after="283"/>
        <w:ind w:left="0" w:right="0" w:firstLine="720"/>
        <w:jc w:val="left"/>
        <w:rPr/>
      </w:pP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333" w:before="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p>
    <w:p>
      <w:pPr>
        <w:pStyle w:val="TextBody"/>
        <w:bidi w:val="0"/>
        <w:spacing w:before="200" w:after="283"/>
        <w:ind w:left="0" w:right="0" w:firstLine="360"/>
        <w:jc w:val="left"/>
        <w:rPr/>
      </w:pPr>
      <w:r>
        <w:rPr/>
      </w:r>
    </w:p>
    <w:p>
      <w:pPr>
        <w:pStyle w:val="TextBody"/>
        <w:bidi w:val="0"/>
        <w:spacing w:lineRule="auto" w:line="288" w:before="200" w:after="283"/>
        <w:ind w:left="0" w:right="0" w:firstLine="720"/>
        <w:jc w:val="left"/>
        <w:rPr/>
      </w:pP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333" w:before="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333" w:before="60" w:after="283"/>
        <w:ind w:left="0" w:right="0" w:firstLine="36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181717"/>
          <w:sz w:val="20"/>
        </w:rPr>
        <w:t>o</w:t>
      </w:r>
    </w:p>
    <w:p>
      <w:pPr>
        <w:pStyle w:val="TextBody"/>
        <w:bidi w:val="0"/>
        <w:spacing w:lineRule="auto" w:line="333" w:before="60" w:after="283"/>
        <w:ind w:left="0" w:right="0" w:firstLine="360"/>
        <w:jc w:val="both"/>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p>
    <w:p>
      <w:pPr>
        <w:pStyle w:val="TextBody"/>
        <w:bidi w:val="0"/>
        <w:spacing w:lineRule="auto" w:line="333" w:before="8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August 7, 2026, there were 20,011,382 shares of the registrant’s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02260"/>
                <wp:effectExtent l="0" t="0" r="0" b="0"/>
                <wp:wrapNone/>
                <wp:docPr id="1"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ind w:left="0" w:right="0" w:firstLine="360"/>
                        <w:jc w:val="left"/>
                        <w:rPr/>
                      </w:pPr>
                      <w:r>
                        <w:rPr/>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715" w:type="dxa"/>
        <w:jc w:val="left"/>
        <w:tblInd w:w="0" w:type="dxa"/>
        <w:tblLayout w:type="fixed"/>
        <w:tblCellMar>
          <w:top w:w="28" w:type="dxa"/>
          <w:left w:w="28" w:type="dxa"/>
          <w:bottom w:w="28" w:type="dxa"/>
          <w:right w:w="28" w:type="dxa"/>
        </w:tblCellMar>
      </w:tblPr>
      <w:tblGrid>
        <w:gridCol w:w="294"/>
        <w:gridCol w:w="257"/>
        <w:gridCol w:w="259"/>
        <w:gridCol w:w="2442"/>
        <w:gridCol w:w="2442"/>
        <w:gridCol w:w="2450"/>
        <w:gridCol w:w="167"/>
        <w:gridCol w:w="167"/>
        <w:gridCol w:w="237"/>
      </w:tblGrid>
      <w:tr>
        <w:trPr/>
        <w:tc>
          <w:tcPr>
            <w:tcW w:w="29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ab1298cd374251b0beacad3f4aae55_10">
              <w:r>
                <w:rPr>
                  <w:rStyle w:val="InternetLink"/>
                  <w:rFonts w:ascii="Times New Roman;serif" w:hAnsi="Times New Roman;serif"/>
                  <w:b w:val="false"/>
                  <w:color w:val="3051F2"/>
                  <w:sz w:val="20"/>
                  <w:u w:val="single"/>
                </w:rPr>
                <w:t>Part I</w:t>
              </w:r>
            </w:hyperlink>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ab1298cd374251b0beacad3f4aae55_10">
              <w:r>
                <w:rPr>
                  <w:rStyle w:val="InternetLink"/>
                  <w:rFonts w:ascii="Times New Roman;serif" w:hAnsi="Times New Roman;serif"/>
                  <w:b w:val="false"/>
                  <w:color w:val="3051F2"/>
                  <w:sz w:val="20"/>
                  <w:u w:val="single"/>
                </w:rPr>
                <w:t>Financial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4ab1298cd374251b0beacad3f4aae55_10">
              <w:r>
                <w:rPr>
                  <w:rStyle w:val="InternetLink"/>
                  <w:rFonts w:ascii="Times New Roman;serif" w:hAnsi="Times New Roman;serif"/>
                  <w:b w:val="false"/>
                  <w:strike w:val="false"/>
                  <w:dstrike w:val="false"/>
                  <w:color w:val="000000"/>
                  <w:sz w:val="20"/>
                  <w:u w:val="none"/>
                  <w:effect w:val="none"/>
                </w:rPr>
                <w:t>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ab1298cd374251b0beacad3f4aae55_13">
              <w:r>
                <w:rPr>
                  <w:rStyle w:val="InternetLink"/>
                  <w:rFonts w:ascii="Times New Roman;serif" w:hAnsi="Times New Roman;serif"/>
                  <w:b w:val="false"/>
                  <w:color w:val="3051F2"/>
                  <w:sz w:val="20"/>
                  <w:u w:val="single"/>
                </w:rPr>
                <w:t>Item 1.</w:t>
              </w:r>
            </w:hyperlink>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ab1298cd374251b0beacad3f4aae55_13">
              <w:r>
                <w:rPr>
                  <w:rStyle w:val="InternetLink"/>
                  <w:rFonts w:ascii="Times New Roman;serif" w:hAnsi="Times New Roman;serif"/>
                  <w:b w:val="false"/>
                  <w:color w:val="3051F2"/>
                  <w:sz w:val="20"/>
                  <w:u w:val="single"/>
                </w:rPr>
                <w:t>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4ab1298cd374251b0beacad3f4aae55_13">
              <w:r>
                <w:rPr>
                  <w:rStyle w:val="InternetLink"/>
                  <w:rFonts w:ascii="Times New Roman;serif" w:hAnsi="Times New Roman;serif"/>
                  <w:b w:val="false"/>
                  <w:strike w:val="false"/>
                  <w:dstrike w:val="false"/>
                  <w:color w:val="000000"/>
                  <w:sz w:val="20"/>
                  <w:u w:val="none"/>
                  <w:effect w:val="none"/>
                </w:rPr>
                <w:t>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ab1298cd374251b0beacad3f4aae55_79">
              <w:r>
                <w:rPr>
                  <w:rStyle w:val="InternetLink"/>
                  <w:rFonts w:ascii="Times New Roman;serif" w:hAnsi="Times New Roman;serif"/>
                  <w:b w:val="false"/>
                  <w:color w:val="3051F2"/>
                  <w:sz w:val="20"/>
                  <w:u w:val="single"/>
                </w:rPr>
                <w:t>Item 2.</w:t>
              </w:r>
            </w:hyperlink>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ab1298cd374251b0beacad3f4aae55_79">
              <w:r>
                <w:rPr>
                  <w:rStyle w:val="InternetLink"/>
                  <w:rFonts w:ascii="Times New Roman;serif" w:hAnsi="Times New Roman;serif"/>
                  <w:b w:val="false"/>
                  <w:color w:val="3051F2"/>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4ab1298cd374251b0beacad3f4aae55_79">
              <w:r>
                <w:rPr>
                  <w:rStyle w:val="InternetLink"/>
                  <w:rFonts w:ascii="Times New Roman;serif" w:hAnsi="Times New Roman;serif"/>
                  <w:b w:val="false"/>
                  <w:strike w:val="false"/>
                  <w:dstrike w:val="false"/>
                  <w:color w:val="000000"/>
                  <w:sz w:val="20"/>
                  <w:u w:val="none"/>
                  <w:effect w:val="none"/>
                </w:rPr>
                <w:t>23</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ab1298cd374251b0beacad3f4aae55_109">
              <w:r>
                <w:rPr>
                  <w:rStyle w:val="InternetLink"/>
                  <w:rFonts w:ascii="Times New Roman;serif" w:hAnsi="Times New Roman;serif"/>
                  <w:b w:val="false"/>
                  <w:color w:val="3051F2"/>
                  <w:sz w:val="20"/>
                  <w:u w:val="single"/>
                </w:rPr>
                <w:t>Item 3.</w:t>
              </w:r>
            </w:hyperlink>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ab1298cd374251b0beacad3f4aae55_109">
              <w:r>
                <w:rPr>
                  <w:rStyle w:val="InternetLink"/>
                  <w:rFonts w:ascii="Times New Roman;serif" w:hAnsi="Times New Roman;serif"/>
                  <w:b w:val="false"/>
                  <w:color w:val="3051F2"/>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4ab1298cd374251b0beacad3f4aae55_109">
              <w:r>
                <w:rPr>
                  <w:rStyle w:val="InternetLink"/>
                  <w:rFonts w:ascii="Times New Roman;serif" w:hAnsi="Times New Roman;serif"/>
                  <w:b w:val="false"/>
                  <w:strike w:val="false"/>
                  <w:dstrike w:val="false"/>
                  <w:color w:val="000000"/>
                  <w:sz w:val="20"/>
                  <w:u w:val="none"/>
                  <w:effect w:val="none"/>
                </w:rPr>
                <w:t>37</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ab1298cd374251b0beacad3f4aae55_112">
              <w:r>
                <w:rPr>
                  <w:rStyle w:val="InternetLink"/>
                  <w:rFonts w:ascii="Times New Roman;serif" w:hAnsi="Times New Roman;serif"/>
                  <w:b w:val="false"/>
                  <w:color w:val="3051F2"/>
                  <w:sz w:val="20"/>
                  <w:u w:val="single"/>
                </w:rPr>
                <w:t>Item 4.</w:t>
              </w:r>
            </w:hyperlink>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ab1298cd374251b0beacad3f4aae55_112">
              <w:r>
                <w:rPr>
                  <w:rStyle w:val="InternetLink"/>
                  <w:rFonts w:ascii="Times New Roman;serif" w:hAnsi="Times New Roman;serif"/>
                  <w:b w:val="false"/>
                  <w:color w:val="3051F2"/>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4ab1298cd374251b0beacad3f4aae55_112">
              <w:r>
                <w:rPr>
                  <w:rStyle w:val="InternetLink"/>
                  <w:rFonts w:ascii="Times New Roman;serif" w:hAnsi="Times New Roman;serif"/>
                  <w:b w:val="false"/>
                  <w:strike w:val="false"/>
                  <w:dstrike w:val="false"/>
                  <w:color w:val="000000"/>
                  <w:sz w:val="20"/>
                  <w:u w:val="none"/>
                  <w:effect w:val="none"/>
                </w:rPr>
                <w:t>37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ab1298cd374251b0beacad3f4aae55_115">
              <w:r>
                <w:rPr>
                  <w:rStyle w:val="InternetLink"/>
                  <w:rFonts w:ascii="Times New Roman;serif" w:hAnsi="Times New Roman;serif"/>
                  <w:b w:val="false"/>
                  <w:color w:val="3051F2"/>
                  <w:sz w:val="20"/>
                  <w:u w:val="single"/>
                </w:rPr>
                <w:t>Part II</w:t>
              </w:r>
            </w:hyperlink>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ab1298cd374251b0beacad3f4aae55_115">
              <w:r>
                <w:rPr>
                  <w:rStyle w:val="InternetLink"/>
                  <w:rFonts w:ascii="Times New Roman;serif" w:hAnsi="Times New Roman;serif"/>
                  <w:b w:val="false"/>
                  <w:color w:val="3051F2"/>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4ab1298cd374251b0beacad3f4aae55_115">
              <w:r>
                <w:rPr>
                  <w:rStyle w:val="InternetLink"/>
                  <w:rFonts w:ascii="Times New Roman;serif" w:hAnsi="Times New Roman;serif"/>
                  <w:b w:val="false"/>
                  <w:strike w:val="false"/>
                  <w:dstrike w:val="false"/>
                  <w:color w:val="000000"/>
                  <w:sz w:val="20"/>
                  <w:u w:val="none"/>
                  <w:effect w:val="none"/>
                </w:rPr>
                <w:t>39</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ab1298cd374251b0beacad3f4aae55_118">
              <w:r>
                <w:rPr>
                  <w:rStyle w:val="InternetLink"/>
                  <w:rFonts w:ascii="Times New Roman;serif" w:hAnsi="Times New Roman;serif"/>
                  <w:b w:val="false"/>
                  <w:color w:val="3051F2"/>
                  <w:sz w:val="20"/>
                  <w:u w:val="single"/>
                </w:rPr>
                <w:t>Item 1.</w:t>
              </w:r>
            </w:hyperlink>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ab1298cd374251b0beacad3f4aae55_118">
              <w:r>
                <w:rPr>
                  <w:rStyle w:val="InternetLink"/>
                  <w:rFonts w:ascii="Times New Roman;serif" w:hAnsi="Times New Roman;serif"/>
                  <w:b w:val="false"/>
                  <w:color w:val="3051F2"/>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4ab1298cd374251b0beacad3f4aae55_118">
              <w:r>
                <w:rPr>
                  <w:rStyle w:val="InternetLink"/>
                  <w:rFonts w:ascii="Times New Roman;serif" w:hAnsi="Times New Roman;serif"/>
                  <w:b w:val="false"/>
                  <w:strike w:val="false"/>
                  <w:dstrike w:val="false"/>
                  <w:color w:val="000000"/>
                  <w:sz w:val="20"/>
                  <w:u w:val="none"/>
                  <w:effect w:val="none"/>
                </w:rPr>
                <w:t>39</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ab1298cd374251b0beacad3f4aae55_121">
              <w:r>
                <w:rPr>
                  <w:rStyle w:val="InternetLink"/>
                  <w:rFonts w:ascii="Times New Roman;serif" w:hAnsi="Times New Roman;serif"/>
                  <w:b w:val="false"/>
                  <w:color w:val="3051F2"/>
                  <w:sz w:val="20"/>
                  <w:u w:val="single"/>
                </w:rPr>
                <w:t>Item 1A.</w:t>
              </w:r>
            </w:hyperlink>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ab1298cd374251b0beacad3f4aae55_121">
              <w:r>
                <w:rPr>
                  <w:rStyle w:val="InternetLink"/>
                  <w:rFonts w:ascii="Times New Roman;serif" w:hAnsi="Times New Roman;serif"/>
                  <w:b w:val="false"/>
                  <w:color w:val="3051F2"/>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4ab1298cd374251b0beacad3f4aae55_121">
              <w:r>
                <w:rPr>
                  <w:rStyle w:val="InternetLink"/>
                  <w:rFonts w:ascii="Times New Roman;serif" w:hAnsi="Times New Roman;serif"/>
                  <w:b w:val="false"/>
                  <w:strike w:val="false"/>
                  <w:dstrike w:val="false"/>
                  <w:color w:val="000000"/>
                  <w:sz w:val="20"/>
                  <w:u w:val="none"/>
                  <w:effect w:val="none"/>
                </w:rPr>
                <w:t>39</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ab1298cd374251b0beacad3f4aae55_124">
              <w:r>
                <w:rPr>
                  <w:rStyle w:val="InternetLink"/>
                  <w:rFonts w:ascii="Times New Roman;serif" w:hAnsi="Times New Roman;serif"/>
                  <w:b w:val="false"/>
                  <w:color w:val="3051F2"/>
                  <w:sz w:val="20"/>
                  <w:u w:val="single"/>
                </w:rPr>
                <w:t>Item 2.</w:t>
              </w:r>
            </w:hyperlink>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ab1298cd374251b0beacad3f4aae55_124">
              <w:r>
                <w:rPr>
                  <w:rStyle w:val="InternetLink"/>
                  <w:rFonts w:ascii="Times New Roman;serif" w:hAnsi="Times New Roman;serif"/>
                  <w:b w:val="false"/>
                  <w:color w:val="3051F2"/>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4ab1298cd374251b0beacad3f4aae55_124">
              <w:r>
                <w:rPr>
                  <w:rStyle w:val="InternetLink"/>
                  <w:rFonts w:ascii="Times New Roman;serif" w:hAnsi="Times New Roman;serif"/>
                  <w:b w:val="false"/>
                  <w:strike w:val="false"/>
                  <w:dstrike w:val="false"/>
                  <w:color w:val="000000"/>
                  <w:sz w:val="20"/>
                  <w:u w:val="none"/>
                  <w:effect w:val="none"/>
                </w:rPr>
                <w:t>91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ab1298cd374251b0beacad3f4aae55_127">
              <w:r>
                <w:rPr>
                  <w:rStyle w:val="InternetLink"/>
                  <w:rFonts w:ascii="Times New Roman;serif" w:hAnsi="Times New Roman;serif"/>
                  <w:b w:val="false"/>
                  <w:color w:val="3051F2"/>
                  <w:sz w:val="20"/>
                  <w:u w:val="single"/>
                </w:rPr>
                <w:t>Item 3.</w:t>
              </w:r>
            </w:hyperlink>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ab1298cd374251b0beacad3f4aae55_127">
              <w:r>
                <w:rPr>
                  <w:rStyle w:val="InternetLink"/>
                  <w:rFonts w:ascii="Times New Roman;serif" w:hAnsi="Times New Roman;serif"/>
                  <w:b w:val="false"/>
                  <w:color w:val="3051F2"/>
                  <w:sz w:val="20"/>
                  <w:u w:val="singl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4ab1298cd374251b0beacad3f4aae55_127">
              <w:r>
                <w:rPr>
                  <w:rStyle w:val="InternetLink"/>
                  <w:rFonts w:ascii="Times New Roman;serif" w:hAnsi="Times New Roman;serif"/>
                  <w:b w:val="false"/>
                  <w:strike w:val="false"/>
                  <w:dstrike w:val="false"/>
                  <w:color w:val="000000"/>
                  <w:sz w:val="20"/>
                  <w:u w:val="none"/>
                  <w:effect w:val="none"/>
                </w:rPr>
                <w:t>91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ab1298cd374251b0beacad3f4aae55_130">
              <w:r>
                <w:rPr>
                  <w:rStyle w:val="InternetLink"/>
                  <w:rFonts w:ascii="Times New Roman;serif" w:hAnsi="Times New Roman;serif"/>
                  <w:b w:val="false"/>
                  <w:color w:val="3051F2"/>
                  <w:sz w:val="20"/>
                  <w:u w:val="single"/>
                </w:rPr>
                <w:t>Item 4.</w:t>
              </w:r>
            </w:hyperlink>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ab1298cd374251b0beacad3f4aae55_130">
              <w:r>
                <w:rPr>
                  <w:rStyle w:val="InternetLink"/>
                  <w:rFonts w:ascii="Times New Roman;serif" w:hAnsi="Times New Roman;serif"/>
                  <w:b w:val="false"/>
                  <w:color w:val="3051F2"/>
                  <w:sz w:val="20"/>
                  <w:u w:val="singl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4ab1298cd374251b0beacad3f4aae55_130">
              <w:r>
                <w:rPr>
                  <w:rStyle w:val="InternetLink"/>
                  <w:rFonts w:ascii="Times New Roman;serif" w:hAnsi="Times New Roman;serif"/>
                  <w:b w:val="false"/>
                  <w:strike w:val="false"/>
                  <w:dstrike w:val="false"/>
                  <w:color w:val="000000"/>
                  <w:sz w:val="20"/>
                  <w:u w:val="none"/>
                  <w:effect w:val="none"/>
                </w:rPr>
                <w:t>91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ab1298cd374251b0beacad3f4aae55_133">
              <w:r>
                <w:rPr>
                  <w:rStyle w:val="InternetLink"/>
                  <w:rFonts w:ascii="Times New Roman;serif" w:hAnsi="Times New Roman;serif"/>
                  <w:b w:val="false"/>
                  <w:color w:val="3051F2"/>
                  <w:sz w:val="20"/>
                  <w:u w:val="single"/>
                </w:rPr>
                <w:t>Item 5.</w:t>
              </w:r>
            </w:hyperlink>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ab1298cd374251b0beacad3f4aae55_133">
              <w:r>
                <w:rPr>
                  <w:rStyle w:val="InternetLink"/>
                  <w:rFonts w:ascii="Times New Roman;serif" w:hAnsi="Times New Roman;serif"/>
                  <w:b w:val="false"/>
                  <w:color w:val="3051F2"/>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4ab1298cd374251b0beacad3f4aae55_133">
              <w:r>
                <w:rPr>
                  <w:rStyle w:val="InternetLink"/>
                  <w:rFonts w:ascii="Times New Roman;serif" w:hAnsi="Times New Roman;serif"/>
                  <w:b w:val="false"/>
                  <w:strike w:val="false"/>
                  <w:dstrike w:val="false"/>
                  <w:color w:val="000000"/>
                  <w:sz w:val="20"/>
                  <w:u w:val="none"/>
                  <w:effect w:val="none"/>
                </w:rPr>
                <w:t>91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ab1298cd374251b0beacad3f4aae55_139">
              <w:r>
                <w:rPr>
                  <w:rStyle w:val="InternetLink"/>
                  <w:rFonts w:ascii="Times New Roman;serif" w:hAnsi="Times New Roman;serif"/>
                  <w:b w:val="false"/>
                  <w:color w:val="3051F2"/>
                  <w:sz w:val="20"/>
                  <w:u w:val="single"/>
                </w:rPr>
                <w:t>Item 6.</w:t>
              </w:r>
            </w:hyperlink>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ab1298cd374251b0beacad3f4aae55_139">
              <w:r>
                <w:rPr>
                  <w:rStyle w:val="InternetLink"/>
                  <w:rFonts w:ascii="Times New Roman;serif" w:hAnsi="Times New Roman;serif"/>
                  <w:b w:val="false"/>
                  <w:color w:val="3051F2"/>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4ab1298cd374251b0beacad3f4aae55_139">
              <w:r>
                <w:rPr>
                  <w:rStyle w:val="InternetLink"/>
                  <w:rFonts w:ascii="Times New Roman;serif" w:hAnsi="Times New Roman;serif"/>
                  <w:b w:val="false"/>
                  <w:strike w:val="false"/>
                  <w:dstrike w:val="false"/>
                  <w:color w:val="000000"/>
                  <w:sz w:val="20"/>
                  <w:u w:val="none"/>
                  <w:effect w:val="none"/>
                </w:rPr>
                <w:t>92</w:t>
              </w:r>
            </w:hyperlink>
          </w:p>
        </w:tc>
      </w:tr>
      <w:tr>
        <w:trPr/>
        <w:tc>
          <w:tcPr>
            <w:tcW w:w="8144"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74ab1298cd374251b0beacad3f4aae55_142">
              <w:r>
                <w:rPr>
                  <w:rStyle w:val="InternetLink"/>
                  <w:rFonts w:ascii="Times New Roman;serif" w:hAnsi="Times New Roman;serif"/>
                  <w:b w:val="false"/>
                  <w:color w:val="3051F2"/>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4ab1298cd374251b0beacad3f4aae55_142">
              <w:r>
                <w:rPr>
                  <w:rStyle w:val="InternetLink"/>
                  <w:rFonts w:ascii="Times New Roman;serif" w:hAnsi="Times New Roman;serif"/>
                  <w:b w:val="false"/>
                  <w:strike w:val="false"/>
                  <w:dstrike w:val="false"/>
                  <w:color w:val="000000"/>
                  <w:sz w:val="20"/>
                  <w:u w:val="none"/>
                  <w:effect w:val="none"/>
                </w:rPr>
                <w:t>93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02260"/>
                <wp:effectExtent l="0" t="0" r="0" b="0"/>
                <wp:wrapNone/>
                <wp:docPr id="2" name="Frame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ind w:left="0" w:right="0" w:firstLine="360"/>
                        <w:jc w:val="left"/>
                        <w:rPr/>
                      </w:pPr>
                      <w:r>
                        <w:rPr/>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Neurogene Inc.</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(In Thousands, Except Share Information)</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57"/>
        <w:gridCol w:w="2348"/>
        <w:gridCol w:w="2294"/>
        <w:gridCol w:w="211"/>
        <w:gridCol w:w="826"/>
        <w:gridCol w:w="109"/>
        <w:gridCol w:w="109"/>
        <w:gridCol w:w="109"/>
        <w:gridCol w:w="109"/>
        <w:gridCol w:w="218"/>
        <w:gridCol w:w="854"/>
        <w:gridCol w:w="161"/>
      </w:tblGrid>
      <w:tr>
        <w:trPr/>
        <w:tc>
          <w:tcPr>
            <w:tcW w:w="2857"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271,770 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288,604 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value rights liability,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16,411 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non-current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value rights liability,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23,717 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Commitments and contingencies - Note 9</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Preferred stock, $0.000001 par value; 50,000,000 shares authorized as of June 30, 2026 and December 31, 2025; 0 shares issued and outstanding as of June 30, 2026 and December 31, 2025, respectively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$0.000001 par value; 450,000,000 shares authorized as of June 30, 2026 and December 31, 2025; 15,830,504 and 15,489,800 shares issued and outstanding as of June 30, 2026 and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617,536 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(352,649)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264,887 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244,364 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288,604 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73685"/>
                <wp:effectExtent l="0" t="0" r="0" b="0"/>
                <wp:wrapNone/>
                <wp:docPr id="3" name="Frame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Neurogene Inc.</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57"/>
        <w:gridCol w:w="1459"/>
        <w:gridCol w:w="1467"/>
        <w:gridCol w:w="211"/>
        <w:gridCol w:w="778"/>
        <w:gridCol w:w="109"/>
        <w:gridCol w:w="109"/>
        <w:gridCol w:w="109"/>
        <w:gridCol w:w="109"/>
        <w:gridCol w:w="211"/>
        <w:gridCol w:w="778"/>
        <w:gridCol w:w="109"/>
        <w:gridCol w:w="109"/>
        <w:gridCol w:w="109"/>
        <w:gridCol w:w="109"/>
        <w:gridCol w:w="211"/>
        <w:gridCol w:w="778"/>
        <w:gridCol w:w="109"/>
        <w:gridCol w:w="109"/>
        <w:gridCol w:w="109"/>
        <w:gridCol w:w="109"/>
        <w:gridCol w:w="211"/>
        <w:gridCol w:w="778"/>
        <w:gridCol w:w="158"/>
      </w:tblGrid>
      <w:tr>
        <w:trPr/>
        <w:tc>
          <w:tcPr>
            <w:tcW w:w="1857"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52,000 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(52,000)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(44,663)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 share information:</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basic and diluted</w:t>
            </w:r>
          </w:p>
        </w:tc>
        <w:tc>
          <w:tcPr>
            <w:tcW w:w="109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22,552,032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21,055,378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22,429,563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21,025,996</w:t>
            </w:r>
          </w:p>
        </w:tc>
      </w:tr>
    </w:tbl>
    <w:p>
      <w:pPr>
        <w:pStyle w:val="TextBody"/>
        <w:bidi w:val="0"/>
        <w:spacing w:lineRule="auto" w:line="288" w:before="200" w:after="283"/>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73685"/>
                <wp:effectExtent l="0" t="0" r="0" b="0"/>
                <wp:wrapNone/>
                <wp:docPr id="4" name="Frame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Neurogene Inc.</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 of Stockholders’ Equity </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(In Thousands, Except Share Information)</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284"/>
        <w:gridCol w:w="923"/>
        <w:gridCol w:w="929"/>
        <w:gridCol w:w="540"/>
        <w:gridCol w:w="541"/>
        <w:gridCol w:w="226"/>
        <w:gridCol w:w="109"/>
        <w:gridCol w:w="109"/>
        <w:gridCol w:w="109"/>
        <w:gridCol w:w="226"/>
        <w:gridCol w:w="436"/>
        <w:gridCol w:w="119"/>
        <w:gridCol w:w="109"/>
        <w:gridCol w:w="109"/>
        <w:gridCol w:w="109"/>
        <w:gridCol w:w="211"/>
        <w:gridCol w:w="826"/>
        <w:gridCol w:w="109"/>
        <w:gridCol w:w="109"/>
        <w:gridCol w:w="109"/>
        <w:gridCol w:w="109"/>
        <w:gridCol w:w="211"/>
        <w:gridCol w:w="897"/>
        <w:gridCol w:w="109"/>
        <w:gridCol w:w="109"/>
        <w:gridCol w:w="109"/>
        <w:gridCol w:w="109"/>
        <w:gridCol w:w="231"/>
        <w:gridCol w:w="905"/>
        <w:gridCol w:w="174"/>
      </w:tblGrid>
      <w:tr>
        <w:trPr/>
        <w:tc>
          <w:tcPr>
            <w:tcW w:w="128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Additional</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Paid-In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br/>
              <w:t>Stockholders'</w:t>
              <w:br/>
              <w:t>Equity</w:t>
            </w:r>
          </w:p>
        </w:tc>
      </w:tr>
      <w:tr>
        <w:trPr/>
        <w:tc>
          <w:tcPr>
            <w:tcW w:w="3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15,489,800 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(352,649)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264,887 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upon exercise of 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issued upon vesting of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104,662 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(30,934)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March 31, 2026</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15,615,786 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(383,583)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237,783 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7,862 </w:t>
            </w:r>
          </w:p>
        </w:tc>
        <w:tc>
          <w:tcPr>
            <w:tcW w:w="17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upon exercise of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under the 2023 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at-the-market offering, net of offering costs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209,529 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 related to offering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(34,488)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June 30, 2026</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15,830,504 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635,204 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(418,071)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217,133 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73685"/>
                <wp:effectExtent l="0" t="0" r="0" b="0"/>
                <wp:wrapNone/>
                <wp:docPr id="5" name="Frame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65"/>
        <w:gridCol w:w="947"/>
        <w:gridCol w:w="953"/>
        <w:gridCol w:w="540"/>
        <w:gridCol w:w="541"/>
        <w:gridCol w:w="226"/>
        <w:gridCol w:w="109"/>
        <w:gridCol w:w="109"/>
        <w:gridCol w:w="109"/>
        <w:gridCol w:w="226"/>
        <w:gridCol w:w="436"/>
        <w:gridCol w:w="119"/>
        <w:gridCol w:w="109"/>
        <w:gridCol w:w="109"/>
        <w:gridCol w:w="109"/>
        <w:gridCol w:w="211"/>
        <w:gridCol w:w="826"/>
        <w:gridCol w:w="109"/>
        <w:gridCol w:w="109"/>
        <w:gridCol w:w="109"/>
        <w:gridCol w:w="109"/>
        <w:gridCol w:w="211"/>
        <w:gridCol w:w="898"/>
        <w:gridCol w:w="109"/>
        <w:gridCol w:w="109"/>
        <w:gridCol w:w="109"/>
        <w:gridCol w:w="109"/>
        <w:gridCol w:w="225"/>
        <w:gridCol w:w="885"/>
        <w:gridCol w:w="170"/>
      </w:tblGrid>
      <w:tr>
        <w:trPr/>
        <w:tc>
          <w:tcPr>
            <w:tcW w:w="1265"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Additional</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Paid-In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Stockholders'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Equity</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14,854,725 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(262,298)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310,375 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upon exercise of 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upon vesting of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(22,647)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March 31, 2025</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14,929,566 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(284,945)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291,795 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17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of common stock for pre-funded warrants</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upon exercise of 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(22,016)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June 30, 2025</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14,269,264 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580,216 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(306,961)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273,255 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73685"/>
                <wp:effectExtent l="0" t="0" r="0" b="0"/>
                <wp:wrapNone/>
                <wp:docPr id="6" name="Frame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Neurogene Inc.</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(Unaudited)</w:t>
      </w:r>
    </w:p>
    <w:tbl>
      <w:tblPr>
        <w:tblW w:w="9128" w:type="dxa"/>
        <w:jc w:val="center"/>
        <w:tblInd w:w="0" w:type="dxa"/>
        <w:tblLayout w:type="fixed"/>
        <w:tblCellMar>
          <w:top w:w="28" w:type="dxa"/>
          <w:left w:w="28" w:type="dxa"/>
          <w:bottom w:w="28" w:type="dxa"/>
          <w:right w:w="28" w:type="dxa"/>
        </w:tblCellMar>
      </w:tblPr>
      <w:tblGrid>
        <w:gridCol w:w="2421"/>
        <w:gridCol w:w="2130"/>
        <w:gridCol w:w="2138"/>
        <w:gridCol w:w="196"/>
        <w:gridCol w:w="736"/>
        <w:gridCol w:w="109"/>
        <w:gridCol w:w="109"/>
        <w:gridCol w:w="109"/>
        <w:gridCol w:w="109"/>
        <w:gridCol w:w="196"/>
        <w:gridCol w:w="721"/>
        <w:gridCol w:w="154"/>
      </w:tblGrid>
      <w:tr>
        <w:trPr/>
        <w:tc>
          <w:tcPr>
            <w:tcW w:w="2421"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impairment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finance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and accretion of premiums/discounts on held-to-maturity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contingent value rights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held-to-maturity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(149,367)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held-to-maturity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common stock upon exercise of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common stock in at-the-market offering, net of offering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common stock under the 2023 Employee Stock Purchase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costs related to offering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(77,773)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136,925 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59,152 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included in accounts payable and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offering costs reclassified to additional paid-in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73685"/>
                <wp:effectExtent l="0" t="0" r="0" b="0"/>
                <wp:wrapNone/>
                <wp:docPr id="7" name="Frame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NEUROGENE INC.</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1.Organization and Description of Business</w:t>
      </w:r>
    </w:p>
    <w:p>
      <w:pPr>
        <w:pStyle w:val="TextBody"/>
        <w:bidi w:val="0"/>
        <w:spacing w:lineRule="auto" w:line="288" w:before="200" w:after="283"/>
        <w:ind w:left="0" w:right="0" w:firstLine="360"/>
        <w:jc w:val="both"/>
        <w:rPr/>
      </w:pPr>
      <w:r>
        <w:rPr>
          <w:rFonts w:ascii="Times New Roman;serif" w:hAnsi="Times New Roman;serif"/>
          <w:b w:val="false"/>
          <w:color w:val="000000"/>
          <w:sz w:val="20"/>
        </w:rPr>
        <w:t>Neurogene Inc. (formerly known as Neoleukin Therapeutics, Inc. (“Neoleukin”)) (the “Company” or “Neurogene”) is a clinical-stage biotechnology company that is a result of the reverse merger. The operating entity of Neurogene Inc. is the wholly owned subsidiary incorporated in the state of Nevada and also named Neurogene Inc. (“Neurogene OpCo”). Neurogene OpCo was incorporated as a limited liability company in Delaware on January 26, 2018 and converted into a Delaware corporation on July 3, 2018, and then merged with a wholly owned subsidiary of the parent company and re-domiciled to Nevada on December 18, 2023 after completing a reverse merger with Neoleukin Therapeutics, Inc. (the “Closing”), in accordance with the terms of the Agreement and Plan of Merger, dated as of July 17, 2023 (the “Merger Agreement”). Both Neurogene and Neurogene OpCo have a principal place of business in New York, NY. Neurogene was formed to harness the power of gene therapy, combined with its EXACT</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transgene regulation technology, to turn today’s complex, devastating neurological diseases into treatable conditions. The Company’s first clinical-stage program to utilize the EXACT technology is NGN-401, which has completed dosing in a Phase 1/2 clinical trial for the treatment of Rett syndrome. The Company has also completed dosing in its registrational trial of NGN-401 to treat Rett syndrome. The trial, known as the </w:t>
      </w:r>
      <w:r>
        <w:rPr>
          <w:rFonts w:ascii="Times New Roman;serif" w:hAnsi="Times New Roman;serif"/>
          <w:b w:val="false"/>
          <w:color w:val="000000"/>
          <w:sz w:val="20"/>
          <w:shd w:fill="FFFFFF" w:val="clear"/>
        </w:rPr>
        <w:t>Embolden</w:t>
      </w:r>
      <w:r>
        <w:rPr>
          <w:rFonts w:ascii="Times New Roman;serif" w:hAnsi="Times New Roman;serif"/>
          <w:b w:val="false"/>
          <w:color w:val="000000"/>
          <w:sz w:val="13"/>
          <w:shd w:fill="FFFFFF" w:val="clear"/>
        </w:rPr>
        <w:t>TM</w:t>
      </w:r>
      <w:r>
        <w:rPr>
          <w:color w:val="000000"/>
        </w:rPr>
        <w:t xml:space="preserve"> </w:t>
      </w:r>
      <w:r>
        <w:rPr>
          <w:rFonts w:ascii="Times New Roman;serif" w:hAnsi="Times New Roman;serif"/>
          <w:b w:val="false"/>
          <w:color w:val="000000"/>
          <w:sz w:val="20"/>
        </w:rPr>
        <w:t>study, is a single</w:t>
        <w:noBreakHyphen/>
        <w:t>arm, baseline</w:t>
        <w:noBreakHyphen/>
        <w:t>controlled, open</w:t>
        <w:noBreakHyphen/>
        <w:t>label study evaluating NGN</w:t>
        <w:noBreakHyphen/>
        <w:t>401 in females with Rett syndrome and has been designed to support a potential Biologics License Application ("BLA") submission. Since beginning operations, the Company has devoted substantially all its resources to conducting research and development activities and undertaking preclinical studies, establishing the Company’s manufacturing facility, conducting clinical trials and the manufacturing of product used in the Company’s clinical trials and preclinical studies, business planning, developing and maintaining its intellectual property portfolio, hiring personnel, raising capital, and providing general and administrative support for these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2.Risks and Uncertainties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subject to risks common to companies in the biotechnology industry, including, but not limited to, successful development of technology, obtaining additional funding, protection of proprietary technology, compliance with government regulations, risks of failure of preclinical studies, clinical studies and clinical trials, risks related to personnel changes and other disruptions at federal agencies, including the U.S. Food and Drug Administration ("FDA"), and uncertainty related to those disruptions, the need to obtain marketing approval for its drug candidates and its consumer products, fluctuations in operating results, economic pressure impacting therapeutic pricing and reimbursement, dependence on key personnel, risks associated with changes in technologies, development by competitors of technological innovations and the ability to transition from pilot scale manufacturing to large scale production.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Liquidity and Financial Condition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its inception, the Company has funded its operations primarily with outside capital (e.g., proceeds from the sale of preferred stock, common stock, and pre-funded warrants) and has incurred significant recurring losses, including net losses of $65.4 million and $44.7 million for the six months ended June 30, 2026 and 2025, respectively. In addition, the Company used cash in operations of $49.9 million and $40.2 million for the six months ended June 30, 2026 and 2025, respectively, and had an accumulated deficit of $418.1 million as of June 30, 2026. Management expects to incur substantial and increasing losses in future periods as the Company advances its products through its clinical and regulatory process and will rely on outside capital to fund its operations for the foreseeable future. The Company has not generated positive cash flows from operations, and there are no assurances that the Company will be successful in obtaining an adequate level of financing for the development and commercialization of its product candidates.</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As of June 30, 2026, the Company had cash, cash equivalents and short-term investments of approximately $225.4 million. To further enhance the Company’s financial flexibility and support strategic growth initiatives, subsequent to June 30, 2026, the Company completed a public offering of common stock and pre-funded warrants, generating aggregate gross proceeds of approximately $143.8 million and net proceeds of approximately $134.8 million after deducting underwriters’ discount and commissions and estimated offering expenses (see Note 14, </w:t>
      </w:r>
      <w:r>
        <w:rPr>
          <w:rFonts w:ascii="Times New Roman;serif" w:hAnsi="Times New Roman;serif"/>
          <w:b w:val="false"/>
          <w:i/>
          <w:color w:val="000000"/>
          <w:sz w:val="20"/>
        </w:rPr>
        <w:t>Subsequent Events</w:t>
      </w:r>
      <w:r>
        <w:rPr>
          <w:rFonts w:ascii="Times New Roman;serif" w:hAnsi="Times New Roman;serif"/>
          <w:b w:val="false"/>
          <w:color w:val="000000"/>
          <w:sz w:val="20"/>
        </w:rPr>
        <w:t xml:space="preserve">). The cash and cash equivalents balance presented in the unaudited condensed consolidated balance sheet as of June 30, 2026, does not reflect these proceeds. The Company expects its available cash and cash equivalents on hand as of the issuance date </w:t>
      </w:r>
      <w:r>
        <w:rPr>
          <w:rFonts w:ascii="Times New Roman;serif" w:hAnsi="Times New Roman;serif"/>
          <w:b w:val="false"/>
          <w:color w:val="000000"/>
          <w:sz w:val="20"/>
          <w:shd w:fill="FFFFFF" w:val="clear"/>
        </w:rPr>
        <w:t xml:space="preserve">of these financial statements </w:t>
      </w:r>
      <w:r>
        <w:rPr>
          <w:rFonts w:ascii="Times New Roman;serif" w:hAnsi="Times New Roman;serif"/>
          <w:b w:val="false"/>
          <w:color w:val="000000"/>
          <w:sz w:val="20"/>
        </w:rPr>
        <w:t>will be sufficient to fund its obligations as they become due for at least one year beyond the issuance date of these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73685"/>
                <wp:effectExtent l="0" t="0" r="0" b="0"/>
                <wp:wrapNone/>
                <wp:docPr id="8" name="Frame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the Company is unable to secure additional outside capital, management will be required to seek other alternatives which may include, among others, a delay or termination of clinical trials or the development of its product candidates, temporary or permanent curtailment of the Company’s operations, a sale of assets, or other alternatives with strategic or financial partners.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do not include any adjustments that might result from the outcome of these uncertainties. Accordingly, the condensed consolidated financial statements have been prepared on a basis that assumes the Company will continue as a going concern and which contemplates the realization of assets and satisfaction of liabilities and commitments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3.Summary of Significant Accounting Policies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accounting principles generally accepted in the United States of America (“U.S. GAAP”) and pursuant to the rules and regulations of the United States Securities and Exchange Commission (“SEC”) for interim financial information. Accordingly, these financial statements do not include all of the information and footnotes required by U.S. GAAP for complete financial statements and should be read in conjunction with the audited consolidated financial statements and accompanying notes included in the Company’s Annual Report on Form 10-K for the year ended December 31, 2025, filed with the SEC on March 24, 2026.</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management’s opinion, the unaudited condensed consolidated financial statements reflect all adjustments (consisting of normal recurring adjustments) necessary to present fairly the financial position of the Company as of June 30, 2026, and results of operations and cash flows for all periods presented. The interim results presented are not necessarily indicative of results that can be expected for the full year ending December 31, 2026.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Use of Estimates </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The preparation of the financial statements in accordance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In preparing these financial statements, management used significant estimates in the following areas, among others: recoverability of the Company’s net deferred tax assets and related valuation allowance, useful lives and recoverability of property and equipment, </w:t>
      </w:r>
      <w:r>
        <w:rPr>
          <w:rFonts w:ascii="Times New Roman;serif" w:hAnsi="Times New Roman;serif"/>
          <w:b w:val="false"/>
          <w:color w:val="000000"/>
          <w:sz w:val="20"/>
          <w:shd w:fill="FFFFFF" w:val="clear"/>
        </w:rPr>
        <w:t xml:space="preserve">determining the incremental borrowing rate for calculating lease liabilities and related right-of-use assets and finance lease assets, clinical trial accruals, accrual estimates for all contingent value rights (“CVRs”), and </w:t>
      </w:r>
      <w:r>
        <w:rPr>
          <w:rFonts w:ascii="Times New Roman;serif" w:hAnsi="Times New Roman;serif"/>
          <w:b w:val="false"/>
          <w:color w:val="000000"/>
          <w:sz w:val="20"/>
        </w:rPr>
        <w:t>the value attributed to employee stock options and other stock-based awards. On an ongoing basis, the Company reviews its estimates to ensure that they appropriately reflect changes in the business or as new information becomes available. Actual results may differ from these estimates.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200" w:after="283"/>
        <w:ind w:left="0" w:right="0" w:firstLine="360"/>
        <w:jc w:val="both"/>
        <w:rPr/>
      </w:pPr>
      <w:r>
        <w:rPr>
          <w:rFonts w:ascii="Times New Roman;serif" w:hAnsi="Times New Roman;serif"/>
          <w:b w:val="false"/>
          <w:color w:val="000000"/>
          <w:sz w:val="20"/>
        </w:rPr>
        <w:t>The Company determines and presents operating segments based on the information internally provided to the Chief Operating Decision Makers (“CODMs”) in accordance with Accounting Standards Codification (“ASC”) 280, </w:t>
      </w:r>
      <w:r>
        <w:rPr>
          <w:rFonts w:ascii="Times New Roman;serif" w:hAnsi="Times New Roman;serif"/>
          <w:b w:val="false"/>
          <w:i/>
          <w:color w:val="000000"/>
          <w:sz w:val="20"/>
        </w:rPr>
        <w:t>Segment Reporting</w:t>
      </w:r>
      <w:r>
        <w:rPr>
          <w:rFonts w:ascii="Times New Roman;serif" w:hAnsi="Times New Roman;serif"/>
          <w:b w:val="false"/>
          <w:color w:val="000000"/>
          <w:sz w:val="20"/>
        </w:rPr>
        <w:t xml:space="preserve">. The Company’s CODMs are (i) the Chief Executive Officer and (ii) the President and Chief Financial Officer. The Company is a clinical-stage biotechnology company that operates as a single operating segment and has one reportable segment. Refer to Note 13, </w:t>
      </w:r>
      <w:r>
        <w:rPr>
          <w:rFonts w:ascii="Times New Roman;serif" w:hAnsi="Times New Roman;serif"/>
          <w:b w:val="false"/>
          <w:i/>
          <w:color w:val="000000"/>
          <w:sz w:val="20"/>
        </w:rPr>
        <w:t xml:space="preserve">Segment Information, </w:t>
      </w:r>
      <w:r>
        <w:rPr>
          <w:rFonts w:ascii="Times New Roman;serif" w:hAnsi="Times New Roman;serif"/>
          <w:b w:val="false"/>
          <w:color w:val="000000"/>
          <w:sz w:val="20"/>
        </w:rPr>
        <w:t xml:space="preserve">for further information related to the Company’s segment. </w:t>
      </w:r>
    </w:p>
    <w:p>
      <w:pPr>
        <w:pStyle w:val="TextBody"/>
        <w:bidi w:val="0"/>
        <w:spacing w:lineRule="auto" w:line="288" w:before="20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Cash, Cash Equivalents and Investments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highly-liquid investments purchased with original maturities of 90 days or less at time of purchase to be cash equivalents. Cash and cash equivalents include cash held in banks and are stated at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73685"/>
                <wp:effectExtent l="0" t="0" r="0" b="0"/>
                <wp:wrapNone/>
                <wp:docPr id="9" name="Frame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in the balance sheets that sum to the total of the same such amounts shown in the statements of cash flows (in thousands):</w:t>
      </w:r>
    </w:p>
    <w:tbl>
      <w:tblPr>
        <w:tblW w:w="6721" w:type="dxa"/>
        <w:jc w:val="left"/>
        <w:tblInd w:w="0" w:type="dxa"/>
        <w:tblLayout w:type="fixed"/>
        <w:tblCellMar>
          <w:top w:w="28" w:type="dxa"/>
          <w:left w:w="28" w:type="dxa"/>
          <w:bottom w:w="28" w:type="dxa"/>
          <w:right w:w="28" w:type="dxa"/>
        </w:tblCellMar>
      </w:tblPr>
      <w:tblGrid>
        <w:gridCol w:w="1429"/>
        <w:gridCol w:w="1254"/>
        <w:gridCol w:w="1261"/>
        <w:gridCol w:w="211"/>
        <w:gridCol w:w="826"/>
        <w:gridCol w:w="109"/>
        <w:gridCol w:w="109"/>
        <w:gridCol w:w="109"/>
        <w:gridCol w:w="109"/>
        <w:gridCol w:w="231"/>
        <w:gridCol w:w="905"/>
        <w:gridCol w:w="168"/>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103,845 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104,184 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Cash equivalents consist of money market funds in which the carrying value equals the fair value (see Note 5, </w:t>
      </w:r>
      <w:r>
        <w:rPr>
          <w:rFonts w:ascii="Times New Roman;serif" w:hAnsi="Times New Roman;serif"/>
          <w:b w:val="false"/>
          <w:i/>
          <w:color w:val="000000"/>
          <w:sz w:val="20"/>
        </w:rPr>
        <w:t>Fair Value of Financial Instruments</w:t>
      </w:r>
      <w:r>
        <w:rPr>
          <w:rFonts w:ascii="Times New Roman;serif" w:hAnsi="Times New Roman;serif"/>
          <w:b w:val="false"/>
          <w:color w:val="000000"/>
          <w:sz w:val="20"/>
        </w:rPr>
        <w:t>). Restricted cash includes $0.3 million in cash deposits the Company maintains with its bank as collateral for the irrevocable letters of credit related to its lease obligations.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investments in U.S. treasury notes are classified as held-to-maturity because the Company has the intent and ability to hold the securities to maturity. Accordingly, these securities are carried at amortized cost. Unrealized gains and losses are not recognized in other comprehensive income or loss.</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subject the Company to significant concentrations of credit risk consist primarily of cash and cash equivalents. The Company’s cash and cash equivalent accounts, at times, may exceed federally insured limits. As of June 30, 2026, the Company had $112.3 million in excess of the federally insured limits. The Company places its cash in financial institutions that management believes to be of high credit quality. </w:t>
      </w:r>
    </w:p>
    <w:p>
      <w:pPr>
        <w:pStyle w:val="TextBody"/>
        <w:bidi w:val="0"/>
        <w:spacing w:lineRule="auto" w:line="288" w:before="200" w:after="283"/>
        <w:ind w:left="0" w:right="0" w:firstLine="360"/>
        <w:jc w:val="both"/>
        <w:rPr/>
      </w:pPr>
      <w:r>
        <w:rPr>
          <w:rFonts w:ascii="Times New Roman;serif" w:hAnsi="Times New Roman;serif"/>
          <w:b/>
          <w:i/>
          <w:color w:val="000000"/>
          <w:sz w:val="20"/>
        </w:rPr>
        <w:t>Contingent Value Right</w:t>
      </w:r>
      <w:r>
        <w:rPr>
          <w:rFonts w:ascii="Times New Roman;serif" w:hAnsi="Times New Roman;serif"/>
          <w:b/>
          <w:color w:val="000000"/>
          <w:sz w:val="20"/>
        </w:rPr>
        <w:t>s</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In conjunction with the reverse merger, the Company entered into a CVR Agreement on December 18, 2023 with the Rights Agent named therein (the “CVR Agreement”) prior to Closing. Included in the CVR Agreement are three different types of CVRs: (i) the Lease CVR, (ii) the Intellectual Property CVR, and (iii) the Sales Tax CVR (each as defined in the CVR Agreement). The Company evaluated each of the CVRs to determine if they qualified as derivatives under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and concluded that since certain scope exceptions were met, the CVRs did not qualify as derivatives. Instead, the Company records a contingent consideration liability associated with the CVRs when payments are probable and estimable under ASC 450, </w:t>
      </w:r>
      <w:r>
        <w:rPr>
          <w:rFonts w:ascii="Times New Roman;serif" w:hAnsi="Times New Roman;serif"/>
          <w:b w:val="false"/>
          <w:i/>
          <w:color w:val="000000"/>
          <w:sz w:val="20"/>
        </w:rPr>
        <w:t>Contingencies</w:t>
      </w:r>
      <w:r>
        <w:rPr>
          <w:rFonts w:ascii="Times New Roman;serif" w:hAnsi="Times New Roman;serif"/>
          <w:b w:val="false"/>
          <w:color w:val="000000"/>
          <w:sz w:val="20"/>
        </w:rPr>
        <w:t xml:space="preserve">. In assessing whether payments are probable and estimable, the Company considers the existence of or ability to enter into agreements with third parties or government agencies and the timing of potential payments. Refer to Note 9,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for further discussion on the CVRs.</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The Company accounts for income taxes in accordance with ASC 740, </w:t>
      </w:r>
      <w:r>
        <w:rPr>
          <w:rFonts w:ascii="Times New Roman;serif" w:hAnsi="Times New Roman;serif"/>
          <w:b w:val="false"/>
          <w:i/>
          <w:color w:val="000000"/>
          <w:sz w:val="20"/>
        </w:rPr>
        <w:t>Income Taxe</w:t>
      </w:r>
      <w:r>
        <w:rPr>
          <w:rFonts w:ascii="Times New Roman;serif" w:hAnsi="Times New Roman;serif"/>
          <w:b w:val="false"/>
          <w:color w:val="000000"/>
          <w:sz w:val="20"/>
        </w:rPr>
        <w:t xml:space="preserve">s, which prescribes the use of the liability method whereby deferred tax assets and liabilities are determined based on the difference between the financial statement and tax basis of assets and liabilities using enacted tax rates in effect for the year in which the differences are expected to reverse. A valuation allowance is provided to reduce the net deferred tax assets to a level which, more likely than not, will be realized. No provision for federal or state income taxes was recorded during the three and six months ended June 30, 2026 and 2025, as the Company incurred operating losses and maintains a full valuation allowance against its net deferred tax assets.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assesses its income tax positions and records tax benefits based upon management’s evaluation of the facts, circumstances, and information available at the reporting date. For those tax positions where it is more likely than not that a tax benefit will be sustained, the Company records the amount of tax benefit with a greater than 50 percent likelihood of being realized upon ultimate settlement with a taxing authority having full knowledge of all relevant information. For those income tax positions for which it is not more likely than not that a tax benefit will be sustained, no tax benefit is recognized in the financial statements. Potential interest and penalties associated with such uncertain tax positions is recorded as a component of income tax expense. As of June 30, 2026, there were no material changes to either the nature or the amounts of the uncertain tax positions.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73685"/>
                <wp:effectExtent l="0" t="0" r="0" b="0"/>
                <wp:wrapNone/>
                <wp:docPr id="10" name="Frame1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 xml:space="preserve">The Company’s significant accounting policies are disclosed in the audited financial statements filed with the Company’s Annual Report on Form 10-K for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Since the date of those financial statements, there have been no changes to the Company’s significant accounting policies.</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Net Loss Per Share Attributable to Common Stockholders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net loss per share of common stock is computed by dividing net income attributable to the Company by the weighted-average number of shares of common stock outstanding during the period. In periods of losses, diluted net loss per share is computed on the same basis as basic net loss per share as the inclusion of any other potential shares outstanding would be anti-dilutive. Outstanding pre-funded warrants as of June 30, 2026 and 2025 were 6,792,559. Pre-funded warrants are considered outstanding as of their issuance date and are included in basic and diluted net loss per share because they are fully vested and exercisable for nominal cash consideration.</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potentially dilutive securities have been excluded from the diluted per share calculations as they would be anti-dilutive: </w:t>
      </w:r>
    </w:p>
    <w:tbl>
      <w:tblPr>
        <w:tblW w:w="7718" w:type="dxa"/>
        <w:jc w:val="left"/>
        <w:tblInd w:w="0" w:type="dxa"/>
        <w:tblLayout w:type="fixed"/>
        <w:tblCellMar>
          <w:top w:w="28" w:type="dxa"/>
          <w:left w:w="28" w:type="dxa"/>
          <w:bottom w:w="28" w:type="dxa"/>
          <w:right w:w="28" w:type="dxa"/>
        </w:tblCellMar>
      </w:tblPr>
      <w:tblGrid>
        <w:gridCol w:w="1767"/>
        <w:gridCol w:w="1549"/>
        <w:gridCol w:w="1558"/>
        <w:gridCol w:w="456"/>
        <w:gridCol w:w="281"/>
        <w:gridCol w:w="258"/>
        <w:gridCol w:w="258"/>
        <w:gridCol w:w="258"/>
        <w:gridCol w:w="258"/>
        <w:gridCol w:w="440"/>
        <w:gridCol w:w="271"/>
        <w:gridCol w:w="364"/>
      </w:tblGrid>
      <w:tr>
        <w:trPr/>
        <w:tc>
          <w:tcPr>
            <w:tcW w:w="1767"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w:t>
            </w:r>
          </w:p>
        </w:tc>
        <w:tc>
          <w:tcPr>
            <w:tcW w:w="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2,977,194</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2,125,498</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287,922</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271,923</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units</w:t>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252,124</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252,124</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under 2023 Employee Stock Purchase Plan</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4,879</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10,225</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9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3,522,119</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2,659,770</w:t>
            </w:r>
          </w:p>
        </w:tc>
      </w:tr>
    </w:tbl>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Comprehensive Loss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Comprehensive loss consists of net loss and other comprehensive income (loss). The Company had no items of other comprehensive income (loss) during the three and six months ended June 30, 2026 and 2025. Accordingly, comprehensive loss was equal to net loss for all periods presented.</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Recently Issued Accounting Standards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new accounting pronouncements are issued by the Financial Accounting Standards Board (“FASB”) or other standard setting bodies that the Company adopts as of the specified effective date. Unless otherwise discussed below, the Company does not believe that the adoption of recently issued standards has or may have a material impact on its condensed financial statements or disclosures.</w:t>
      </w:r>
    </w:p>
    <w:p>
      <w:pPr>
        <w:pStyle w:val="TextBody"/>
        <w:bidi w:val="0"/>
        <w:spacing w:lineRule="auto" w:line="288" w:before="20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 Not Yet Adopted</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w:t>
      </w:r>
      <w:r>
        <w:rPr>
          <w:rFonts w:ascii="Times New Roman;serif" w:hAnsi="Times New Roman;serif"/>
          <w:b w:val="false"/>
          <w:color w:val="000000"/>
          <w:sz w:val="20"/>
        </w:rPr>
        <w:t xml:space="preserve">(“ASU 2024-03”) which requires public entities to provide disaggregated disclosure of income statement expenses. Public entities are required to disaggregate, in a tabular presentation, each relevant expense caption on the face of the condensed consolidated statements of operations such as the following expenses: purchases of inventory, employee compensation, intangible asset amortization, and depreciation. In January 2025, the FASB issued ASU 2025-01, </w:t>
      </w:r>
      <w:r>
        <w:rPr>
          <w:rFonts w:ascii="Times New Roman;serif" w:hAnsi="Times New Roman;serif"/>
          <w:b w:val="false"/>
          <w:i/>
          <w:color w:val="000000"/>
          <w:sz w:val="20"/>
        </w:rPr>
        <w:t>Income Statement - Reporting Comprehensive Income - Expense Disaggregation Disclosures</w:t>
      </w:r>
      <w:r>
        <w:rPr>
          <w:rFonts w:ascii="Times New Roman;serif" w:hAnsi="Times New Roman;serif"/>
          <w:b w:val="false"/>
          <w:color w:val="000000"/>
          <w:sz w:val="20"/>
        </w:rPr>
        <w:t xml:space="preserve">, to clarify the effective date. The updated effective date for the Company to adopt ASU 2024-03 is for annual reporting periods beginning after December 15, 2026 and interim periods within annual reporting periods beginning after December 15, 2027, with early adoption permitted. The Company is currently evaluating the potential impact that ASU 2024-03 will have on its financial statement disclosures.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73685"/>
                <wp:effectExtent l="0" t="0" r="0" b="0"/>
                <wp:wrapNone/>
                <wp:docPr id="11" name="Frame1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Intangibles - Goodwill and Other - Internal-Use Software (Subtopic 350-40) </w:t>
      </w:r>
      <w:r>
        <w:rPr>
          <w:rFonts w:ascii="Times New Roman;serif" w:hAnsi="Times New Roman;serif"/>
          <w:b w:val="false"/>
          <w:color w:val="000000"/>
          <w:sz w:val="20"/>
        </w:rPr>
        <w:t xml:space="preserve">(“ASU 2025-06”) which removes all references to project stages throughout ASC 350-40, </w:t>
      </w:r>
      <w:r>
        <w:rPr>
          <w:rFonts w:ascii="Times New Roman;serif" w:hAnsi="Times New Roman;serif"/>
          <w:b w:val="false"/>
          <w:i/>
          <w:color w:val="000000"/>
          <w:sz w:val="20"/>
        </w:rPr>
        <w:t>Intangibles — Goodwill and Other, Internal-Use Software</w:t>
      </w:r>
      <w:r>
        <w:rPr>
          <w:rFonts w:ascii="Times New Roman;serif" w:hAnsi="Times New Roman;serif"/>
          <w:b w:val="false"/>
          <w:color w:val="000000"/>
          <w:sz w:val="20"/>
        </w:rPr>
        <w:t>. Cost capitalization will now begin solely when (1) management has authorized and committed to funding the software project, and (2) it is ‘probable’ the project will be completed and the software used to perform its intended function (referred to as the probable-to-complete recognition threshold). The effective date for the Company to adopt ASU 2025-06 is for annual reporting periods beginning after December 15, 2027 and interim reporting periods within those annual reporting periods, with early adoption permitted. The Company is currently evaluating the potential impact that ASU 2025-06 will have on its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4.Investments </w:t>
      </w:r>
    </w:p>
    <w:p>
      <w:pPr>
        <w:pStyle w:val="TextBody"/>
        <w:bidi w:val="0"/>
        <w:spacing w:lineRule="auto" w:line="240"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investment securities as of June 30, 2026 and December 31, 2025 (in thousands):</w:t>
      </w:r>
    </w:p>
    <w:tbl>
      <w:tblPr>
        <w:tblW w:w="9320" w:type="dxa"/>
        <w:jc w:val="left"/>
        <w:tblInd w:w="0" w:type="dxa"/>
        <w:tblLayout w:type="fixed"/>
        <w:tblCellMar>
          <w:top w:w="28" w:type="dxa"/>
          <w:left w:w="28" w:type="dxa"/>
          <w:bottom w:w="28" w:type="dxa"/>
          <w:right w:w="28" w:type="dxa"/>
        </w:tblCellMar>
      </w:tblPr>
      <w:tblGrid>
        <w:gridCol w:w="744"/>
        <w:gridCol w:w="653"/>
        <w:gridCol w:w="658"/>
        <w:gridCol w:w="442"/>
        <w:gridCol w:w="1730"/>
        <w:gridCol w:w="228"/>
        <w:gridCol w:w="109"/>
        <w:gridCol w:w="109"/>
        <w:gridCol w:w="109"/>
        <w:gridCol w:w="361"/>
        <w:gridCol w:w="696"/>
        <w:gridCol w:w="188"/>
        <w:gridCol w:w="109"/>
        <w:gridCol w:w="109"/>
        <w:gridCol w:w="109"/>
        <w:gridCol w:w="370"/>
        <w:gridCol w:w="712"/>
        <w:gridCol w:w="192"/>
        <w:gridCol w:w="109"/>
        <w:gridCol w:w="109"/>
        <w:gridCol w:w="109"/>
        <w:gridCol w:w="242"/>
        <w:gridCol w:w="947"/>
        <w:gridCol w:w="176"/>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 cost, as adjusted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holding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holding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fair</w:t>
              <w:br/>
              <w:t>value</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4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96,954 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112,907 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112,895 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209,861 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209,849 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of the Company’s investments mature within the next 12 months.</w:t>
      </w:r>
    </w:p>
    <w:tbl>
      <w:tblPr>
        <w:tblW w:w="9320" w:type="dxa"/>
        <w:jc w:val="left"/>
        <w:tblInd w:w="0" w:type="dxa"/>
        <w:tblLayout w:type="fixed"/>
        <w:tblCellMar>
          <w:top w:w="28" w:type="dxa"/>
          <w:left w:w="28" w:type="dxa"/>
          <w:bottom w:w="28" w:type="dxa"/>
          <w:right w:w="28" w:type="dxa"/>
        </w:tblCellMar>
      </w:tblPr>
      <w:tblGrid>
        <w:gridCol w:w="744"/>
        <w:gridCol w:w="653"/>
        <w:gridCol w:w="658"/>
        <w:gridCol w:w="442"/>
        <w:gridCol w:w="1730"/>
        <w:gridCol w:w="228"/>
        <w:gridCol w:w="109"/>
        <w:gridCol w:w="109"/>
        <w:gridCol w:w="109"/>
        <w:gridCol w:w="334"/>
        <w:gridCol w:w="738"/>
        <w:gridCol w:w="173"/>
        <w:gridCol w:w="109"/>
        <w:gridCol w:w="109"/>
        <w:gridCol w:w="109"/>
        <w:gridCol w:w="370"/>
        <w:gridCol w:w="712"/>
        <w:gridCol w:w="192"/>
        <w:gridCol w:w="109"/>
        <w:gridCol w:w="109"/>
        <w:gridCol w:w="109"/>
        <w:gridCol w:w="242"/>
        <w:gridCol w:w="947"/>
        <w:gridCol w:w="176"/>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 cost, as adjusted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holding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holding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fair</w:t>
              <w:br/>
              <w:t>value</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4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93,593 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93,593 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165,168 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165,302 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258,761 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258,895 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5.Fair Value of Financial Instruments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financial assets measured at fair value on a recurring basis are categorized in the table below based upon the lowest level of significant input to the valuations (in thousands):</w:t>
      </w:r>
    </w:p>
    <w:tbl>
      <w:tblPr>
        <w:tblW w:w="6072" w:type="dxa"/>
        <w:jc w:val="left"/>
        <w:tblInd w:w="0" w:type="dxa"/>
        <w:tblLayout w:type="fixed"/>
        <w:tblCellMar>
          <w:top w:w="28" w:type="dxa"/>
          <w:left w:w="28" w:type="dxa"/>
          <w:bottom w:w="28" w:type="dxa"/>
          <w:right w:w="28" w:type="dxa"/>
        </w:tblCellMar>
      </w:tblPr>
      <w:tblGrid>
        <w:gridCol w:w="650"/>
        <w:gridCol w:w="566"/>
        <w:gridCol w:w="584"/>
        <w:gridCol w:w="211"/>
        <w:gridCol w:w="826"/>
        <w:gridCol w:w="109"/>
        <w:gridCol w:w="148"/>
        <w:gridCol w:w="148"/>
        <w:gridCol w:w="150"/>
        <w:gridCol w:w="317"/>
        <w:gridCol w:w="612"/>
        <w:gridCol w:w="165"/>
        <w:gridCol w:w="148"/>
        <w:gridCol w:w="148"/>
        <w:gridCol w:w="150"/>
        <w:gridCol w:w="312"/>
        <w:gridCol w:w="599"/>
        <w:gridCol w:w="229"/>
      </w:tblGrid>
      <w:tr>
        <w:trPr/>
        <w:tc>
          <w:tcPr>
            <w:tcW w:w="65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800"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Level 1</w:t>
            </w:r>
          </w:p>
        </w:tc>
        <w:tc>
          <w:tcPr>
            <w:tcW w:w="44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Level 2</w:t>
            </w:r>
          </w:p>
        </w:tc>
        <w:tc>
          <w:tcPr>
            <w:tcW w:w="44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72" w:type="dxa"/>
        <w:jc w:val="left"/>
        <w:tblInd w:w="0" w:type="dxa"/>
        <w:tblLayout w:type="fixed"/>
        <w:tblCellMar>
          <w:top w:w="28" w:type="dxa"/>
          <w:left w:w="28" w:type="dxa"/>
          <w:bottom w:w="28" w:type="dxa"/>
          <w:right w:w="28" w:type="dxa"/>
        </w:tblCellMar>
      </w:tblPr>
      <w:tblGrid>
        <w:gridCol w:w="650"/>
        <w:gridCol w:w="566"/>
        <w:gridCol w:w="584"/>
        <w:gridCol w:w="211"/>
        <w:gridCol w:w="826"/>
        <w:gridCol w:w="109"/>
        <w:gridCol w:w="148"/>
        <w:gridCol w:w="148"/>
        <w:gridCol w:w="150"/>
        <w:gridCol w:w="317"/>
        <w:gridCol w:w="612"/>
        <w:gridCol w:w="165"/>
        <w:gridCol w:w="148"/>
        <w:gridCol w:w="148"/>
        <w:gridCol w:w="150"/>
        <w:gridCol w:w="312"/>
        <w:gridCol w:w="599"/>
        <w:gridCol w:w="229"/>
      </w:tblGrid>
      <w:tr>
        <w:trPr/>
        <w:tc>
          <w:tcPr>
            <w:tcW w:w="65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800"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Level 1</w:t>
            </w:r>
          </w:p>
        </w:tc>
        <w:tc>
          <w:tcPr>
            <w:tcW w:w="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Level 2</w:t>
            </w:r>
          </w:p>
        </w:tc>
        <w:tc>
          <w:tcPr>
            <w:tcW w:w="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258,895 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73685"/>
                <wp:effectExtent l="0" t="0" r="0" b="0"/>
                <wp:wrapNone/>
                <wp:docPr id="12" name="Frame1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Money market funds are cash equivalents and are included in cash and cash equivalents in the condensed consolidated balance sheet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6.Prepaid expenses and other current assets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assets consist of the following (in thousands):</w:t>
      </w:r>
    </w:p>
    <w:tbl>
      <w:tblPr>
        <w:tblW w:w="5717" w:type="dxa"/>
        <w:jc w:val="left"/>
        <w:tblInd w:w="0" w:type="dxa"/>
        <w:tblLayout w:type="fixed"/>
        <w:tblCellMar>
          <w:top w:w="28" w:type="dxa"/>
          <w:left w:w="28" w:type="dxa"/>
          <w:bottom w:w="28" w:type="dxa"/>
          <w:right w:w="28" w:type="dxa"/>
        </w:tblCellMar>
      </w:tblPr>
      <w:tblGrid>
        <w:gridCol w:w="1140"/>
        <w:gridCol w:w="1003"/>
        <w:gridCol w:w="1006"/>
        <w:gridCol w:w="211"/>
        <w:gridCol w:w="616"/>
        <w:gridCol w:w="109"/>
        <w:gridCol w:w="109"/>
        <w:gridCol w:w="109"/>
        <w:gridCol w:w="109"/>
        <w:gridCol w:w="280"/>
        <w:gridCol w:w="819"/>
        <w:gridCol w:w="206"/>
      </w:tblGrid>
      <w:tr>
        <w:trPr/>
        <w:tc>
          <w:tcPr>
            <w:tcW w:w="1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receivables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and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7.Property and Equipment, Net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 of the following (in thousands):</w:t>
      </w:r>
    </w:p>
    <w:tbl>
      <w:tblPr>
        <w:tblW w:w="6678" w:type="dxa"/>
        <w:jc w:val="left"/>
        <w:tblInd w:w="0" w:type="dxa"/>
        <w:tblLayout w:type="fixed"/>
        <w:tblCellMar>
          <w:top w:w="28" w:type="dxa"/>
          <w:left w:w="28" w:type="dxa"/>
          <w:bottom w:w="28" w:type="dxa"/>
          <w:right w:w="28" w:type="dxa"/>
        </w:tblCellMar>
      </w:tblPr>
      <w:tblGrid>
        <w:gridCol w:w="1451"/>
        <w:gridCol w:w="1273"/>
        <w:gridCol w:w="1281"/>
        <w:gridCol w:w="211"/>
        <w:gridCol w:w="721"/>
        <w:gridCol w:w="109"/>
        <w:gridCol w:w="109"/>
        <w:gridCol w:w="109"/>
        <w:gridCol w:w="109"/>
        <w:gridCol w:w="253"/>
        <w:gridCol w:w="867"/>
        <w:gridCol w:w="185"/>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15,418 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cost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26,901 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(14,109)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12,792 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recorded depreciation and amortization expense of $0.8 million and $0.8 million for the three months ended June 30, 2026 and 2025, respectively, and recorded $1.6 million and $1.5 million for the six months ended June 30, 2026 and 2025, respectively.</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has reviewed its property and equipment for impairment whenever events and circumstances indicate that the carrying value of an asset might not be recoverable. During the six months ended June 30, 2026, impairment losses were immaterial. During the six months ended June 30, 2025, no impairment losses were recorded. Impairment losses are charged to research and development expenses in the condensed consolidated statement of operations. Fair value for the idle assets was determined by a quoted purchase price for the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8.Accrued Expenses and Other Current Liabilities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 (in thousands):</w:t>
      </w:r>
    </w:p>
    <w:tbl>
      <w:tblPr>
        <w:tblW w:w="6932" w:type="dxa"/>
        <w:jc w:val="left"/>
        <w:tblInd w:w="0" w:type="dxa"/>
        <w:tblLayout w:type="fixed"/>
        <w:tblCellMar>
          <w:top w:w="28" w:type="dxa"/>
          <w:left w:w="28" w:type="dxa"/>
          <w:bottom w:w="28" w:type="dxa"/>
          <w:right w:w="28" w:type="dxa"/>
        </w:tblCellMar>
      </w:tblPr>
      <w:tblGrid>
        <w:gridCol w:w="1541"/>
        <w:gridCol w:w="1356"/>
        <w:gridCol w:w="1362"/>
        <w:gridCol w:w="211"/>
        <w:gridCol w:w="721"/>
        <w:gridCol w:w="109"/>
        <w:gridCol w:w="109"/>
        <w:gridCol w:w="109"/>
        <w:gridCol w:w="109"/>
        <w:gridCol w:w="253"/>
        <w:gridCol w:w="867"/>
        <w:gridCol w:w="185"/>
      </w:tblGrid>
      <w:tr>
        <w:trPr/>
        <w:tc>
          <w:tcPr>
            <w:tcW w:w="154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bonuses and related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10,756 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73685"/>
                <wp:effectExtent l="0" t="0" r="0" b="0"/>
                <wp:wrapNone/>
                <wp:docPr id="13" name="Frame1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9.Commitments and Contingencies</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Lease Obligations</w:t>
      </w:r>
    </w:p>
    <w:p>
      <w:pPr>
        <w:pStyle w:val="TextBody"/>
        <w:bidi w:val="0"/>
        <w:spacing w:lineRule="auto" w:line="288" w:before="200" w:after="283"/>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New York Headquarters Lease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2019, the Company commenced a sub-lease of approximately 6,000 square feet of office space for the corporate headquarters in New York, New York with a term expiring in June 2023.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2021, the sublessor was released from the original lease by the landlord, and the Company attorned to the landlord the executory terms and provisions of the sub-lease. In February 2022, the Company entered into an extension of the New York office lease (retroactive to December 2021) through June 2026. In November 2025, the Company entered into a second amendment of the lease, extending the New York office lease through January 2028, with decreased monthly lease payments of approximately $0.03 million. As a result, the Company recorded an additional operating right-of-use asset of approximately $0.4 million and an additional operating lease liability of approximately $0.4 million.</w:t>
      </w:r>
    </w:p>
    <w:p>
      <w:pPr>
        <w:pStyle w:val="TextBody"/>
        <w:bidi w:val="0"/>
        <w:spacing w:lineRule="auto" w:line="288" w:before="200" w:after="283"/>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Houston Lease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2019, the Company entered into an agreement to lease approximately 26,905 square feet in Houston, Texas to build a manufacturing facility and office with a term expiring in August 2029. The Company has the option to renew the lease term for two additional five-year terms. The renewal periods were not included in the lease term for purposes of determining the lease liability or right-of-use asset. Monthly rent payments were approximately $0.03 million. In connection with the lease, the Company paid a security deposit of approximately $0.04 million.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2020, the Company amended the lease agreement to further increase the rentable space to 42,342 square feet. The commencement date of the expansion space lease was January 1, 2021 and the monthly rent payments increased to a range of approximately $0.05 million to $0.06 million. </w:t>
      </w:r>
    </w:p>
    <w:p>
      <w:pPr>
        <w:pStyle w:val="TextBody"/>
        <w:bidi w:val="0"/>
        <w:spacing w:lineRule="auto" w:line="288" w:before="200" w:after="283"/>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Blaine Lease in Seattle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reverse merger, the Company assumed an operating lease for approximately 33,300 square feet of office space in Seattle, Washington for offices, a laboratory for research and development, and related uses. The lease expires on February 1, 2029, with the option to extend the lease for two five-year terms. The renewal periods were not included in the lease term for purposes of determining the lease liability or right-of-use asset.</w:t>
      </w:r>
    </w:p>
    <w:p>
      <w:pPr>
        <w:pStyle w:val="TextBody"/>
        <w:bidi w:val="0"/>
        <w:spacing w:lineRule="auto" w:line="288" w:before="200" w:after="283"/>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Eastlake Lease in Seattle</w:t>
      </w:r>
    </w:p>
    <w:p>
      <w:pPr>
        <w:pStyle w:val="TextBody"/>
        <w:bidi w:val="0"/>
        <w:spacing w:lineRule="auto" w:line="288" w:before="200" w:after="283"/>
        <w:ind w:left="0" w:right="0" w:firstLine="360"/>
        <w:jc w:val="both"/>
        <w:rPr/>
      </w:pPr>
      <w:r>
        <w:rPr>
          <w:rFonts w:ascii="Times New Roman;serif" w:hAnsi="Times New Roman;serif"/>
          <w:b w:val="false"/>
          <w:color w:val="000000"/>
          <w:sz w:val="20"/>
        </w:rPr>
        <w:t>As a result of the reverse merger, the Company assumed an operating lease for approximately 6,272 square feet of office space in Seattle, Washington for additional office and laboratory space for research and development and related uses (the “Eastlake Lease”). The lease expires on September 30, 2026. The Company also assumed the existing agreement to sublease the Eastlake Lease to an unrelated third party (“Eastlake Sublease”). Pursuant to the terms of the Eastlake Sublease, Neurogene is entitled to receive approximately $1.6 million in lease payments. The Company recorded sublease income of $0.1 million for the three months ended June 30, 2026 and 2025. The Company recorded sublease income of $0.3 million for the six months ended June 30, 2026 and 2025. Sublease income is included in other income in the statement of operations. The term of the sublease is through September 30, 2026</w:t>
      </w:r>
      <w:r>
        <w:rPr>
          <w:rFonts w:ascii="Times New Roman;serif" w:hAnsi="Times New Roman;serif"/>
          <w:b w:val="false"/>
          <w:color w:val="000000"/>
          <w:sz w:val="20"/>
          <w:shd w:fill="FFFFFF" w:val="clear"/>
        </w:rPr>
        <w: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Supplemental lease expense for the three and six months ended June 30, 2026 and 2025 was as follows (in thousands):</w:t>
      </w:r>
    </w:p>
    <w:tbl>
      <w:tblPr>
        <w:tblW w:w="7364" w:type="dxa"/>
        <w:jc w:val="left"/>
        <w:tblInd w:w="0" w:type="dxa"/>
        <w:tblLayout w:type="fixed"/>
        <w:tblCellMar>
          <w:top w:w="28" w:type="dxa"/>
          <w:left w:w="28" w:type="dxa"/>
          <w:bottom w:w="28" w:type="dxa"/>
          <w:right w:w="28" w:type="dxa"/>
        </w:tblCellMar>
      </w:tblPr>
      <w:tblGrid>
        <w:gridCol w:w="1047"/>
        <w:gridCol w:w="920"/>
        <w:gridCol w:w="927"/>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104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finance leases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finance lease liabilities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73685"/>
                <wp:effectExtent l="0" t="0" r="0" b="0"/>
                <wp:wrapNone/>
                <wp:docPr id="14" name="Frame1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Lease CVR</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CVR Agreement, each CVR holder is eligible to receive certain net savings, if any, realized by June 30, 2029 in connection with certain legacy lease obligations (the “Lease CVR”). As of June 30, 2026, approximately $0.4 million was recorded as a component of the contingent value rights liability on the Company’s condensed consolidated balance sheet consisting of lease commitments that were probable and estimable at the Closing. The commitments relate to Neoleukin’s sublease agreement, effective October 31, 2023, for one of its properties with an unrelated third party for the remainder of the lease term.</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Intellectual Property CVR</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Under the CVR Agreement, each CVR holder is eligible to receive 100% of the net proceeds, if any, derived from any consideration paid as a result of the disposition of Neoleukin’s pre-merger legacy assets pursuant to any agreements entered into before the Closing, and 80% of net proceeds, if any, derived from any consideration paid as a result of the disposition of Neoleukin’s pre-merger legacy assets pursuant to any agreements entered into within one year after the Closing (the “Intellectual Property CVR”). Contingent consideration liabilities related to the CVR Agreement will only be recorded if the liabilities are probable and estimable as of the balance sheet date. Refer to the </w:t>
      </w:r>
      <w:r>
        <w:rPr>
          <w:rFonts w:ascii="Times New Roman;serif" w:hAnsi="Times New Roman;serif"/>
          <w:b w:val="false"/>
          <w:i/>
          <w:color w:val="000000"/>
          <w:sz w:val="20"/>
        </w:rPr>
        <w:t>December 2023 CVR Licensing Agreement and April 2024 CVR Licensing Agreement subsections</w:t>
      </w:r>
      <w:r>
        <w:rPr>
          <w:color w:val="000000"/>
        </w:rPr>
        <w:t xml:space="preserve"> </w:t>
      </w:r>
      <w:r>
        <w:rPr>
          <w:rFonts w:ascii="Times New Roman;serif" w:hAnsi="Times New Roman;serif"/>
          <w:b w:val="false"/>
          <w:color w:val="000000"/>
          <w:sz w:val="20"/>
        </w:rPr>
        <w:t xml:space="preserve">below for further detail on the current agreements related to the Company’s Intellectual Property CVR. </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December 2023 CVR Licensing Agreement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Closing, Neoleukin entered into a licensing agreement on December 13, 2023 with an unrelated third party to develop and commercialize certain legacy Neoleukin assets (the “December 2023 CVR Licensing Agreement”). In June 2024, an upfront payment of $0.2 million was received by the Company and was recorded as licensing revenue within the condensed consolidated statements of operations. Since the December 2023 CVR Licensing Agreement was entered into before the Closing, the CVR holders are eligible to receive 100% of the net proceeds derived from the December 2023 CVR Licensing Agreement. The December 2023 CVR Licensing Agreement contains development, regulatory and commercialization milestones totaling up to approximately $13.4 million, as well as royalty payments. However, as of June 30, 2026, no other development and sales milestones were achieved nor deemed probable of achievement under the December 2023 CVR Licensing Agreement. </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April 2024 CVR Licensing Agreement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2024, the Company entered into a licensing and intellectual property assignment agreement with another unrelated third party to develop and commercialize certain legacy Neoleukin assets (the “April 2024 CVR Licensing Agreement”). In April 2024, the Company received a one-time upfront payment of approximately $0.8 million and reimbursement of $0.01 million for patent expenses under the April 2024 CVR Licensing Agreement. Accordingly, the Company recorded $0.8 million as licensing revenue within the condensed consolidated statements of operations. Since the April 2024 CVR Licensing Agreement was entered into within one year after the Closing, the CVR holders are eligible to receive 80% of the net proceeds derived from the April 2024 CVR Licensing Agreement. The April 2024 CVR Licensing Agreement contains development, regulatory and commercialization milestones totaling up to approximately $11.0 million, as well as royalty payments. However, as of June 30, 2026, no other development and sales milestones were achieved nor deemed probable of achievement under the April 2024 CVR Licensing Agreement.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December 2023 CVR Licensing Agreement and April 2024 CVR Licensing Agreement collectively account for the total Intellectual Property CVR. The total amount of $0.9 million due under the Intellectual Property CVR was offset by $0.4 million due to permitted deductions under the Merger Agreement and the remaining $0.5 million was paid to the CVR holders.</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CVR Payments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August 2025, the Company made the second CVR payment to CVR holders of $0.8 million. $0.4 million was applied to the Sales Tax CVR and $0.4 million was applied to the Lease CVR, reducing the respective liabilities. In February 2026, the Company made the third CVR payment to CVR holders of $0.6 million. $0.3 million was applied to the Intellectual Property CVR and $0.3 million was applied to the Lease CVR.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73685"/>
                <wp:effectExtent l="0" t="0" r="0" b="0"/>
                <wp:wrapNone/>
                <wp:docPr id="15" name="Frame1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the contingent value rights liability in the condensed consolidated balance sheet as of June 30, 2026 and December 31, 2025 (in thousands):</w:t>
      </w:r>
    </w:p>
    <w:tbl>
      <w:tblPr>
        <w:tblW w:w="7370" w:type="dxa"/>
        <w:jc w:val="left"/>
        <w:tblInd w:w="0" w:type="dxa"/>
        <w:tblLayout w:type="fixed"/>
        <w:tblCellMar>
          <w:top w:w="28" w:type="dxa"/>
          <w:left w:w="28" w:type="dxa"/>
          <w:bottom w:w="28" w:type="dxa"/>
          <w:right w:w="28" w:type="dxa"/>
        </w:tblCellMar>
      </w:tblPr>
      <w:tblGrid>
        <w:gridCol w:w="808"/>
        <w:gridCol w:w="708"/>
        <w:gridCol w:w="719"/>
        <w:gridCol w:w="239"/>
        <w:gridCol w:w="461"/>
        <w:gridCol w:w="125"/>
        <w:gridCol w:w="109"/>
        <w:gridCol w:w="109"/>
        <w:gridCol w:w="109"/>
        <w:gridCol w:w="330"/>
        <w:gridCol w:w="729"/>
        <w:gridCol w:w="171"/>
        <w:gridCol w:w="109"/>
        <w:gridCol w:w="109"/>
        <w:gridCol w:w="109"/>
        <w:gridCol w:w="221"/>
        <w:gridCol w:w="489"/>
        <w:gridCol w:w="114"/>
        <w:gridCol w:w="109"/>
        <w:gridCol w:w="109"/>
        <w:gridCol w:w="109"/>
        <w:gridCol w:w="323"/>
        <w:gridCol w:w="715"/>
        <w:gridCol w:w="237"/>
      </w:tblGrid>
      <w:tr>
        <w:trPr/>
        <w:tc>
          <w:tcPr>
            <w:tcW w:w="8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Current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Non-Current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Current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Non-Current </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CVR</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CVR</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CVR liability</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per the CVR Agreement, the total amount owed to CVR holders, after deductions permitted under the Merger Agreement, must be at least $0.5 million to trigger a CVR payment prior to the end of the CVR term. </w:t>
      </w:r>
    </w:p>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 xml:space="preserve">All other payments under the CVR Agreement were not considered probable and estimable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therefore, no additional contingent consideration liability has been recorded. </w:t>
      </w:r>
      <w:r>
        <w:rPr>
          <w:rFonts w:ascii="Times New Roman;serif" w:hAnsi="Times New Roman;serif"/>
          <w:b w:val="false"/>
          <w:color w:val="000000"/>
          <w:sz w:val="20"/>
        </w:rPr>
        <w:t>The Company will evaluate the probable and estimable range of outcomes under the CVR Agreement at each reporting period until the end of the CVR term and adjust the amounts accrued for, as necessary.</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Employment Agreements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employment and consulting agreements with key personnel providing for compensation and severance in certain circumstances, as defined in the respective employment agreements. </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Other Research and Development Arrangements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standing agreements with consultants, contractors or service providers that generally can be terminated by the Company with 30 to 60 days written notice, unless otherwise indicated.</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Litigation and Legal Proceedings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subject to litigation and other claims that arise in the ordinary course of business. While the ultimate result of outstanding legal matters cannot presently be determined, the Company does not expect that the ultimate disposition will have a material effect on its financial condition, results of operations or cash flows. However, legal matters are inherently unpredictable and subject to significant uncertainties, some of which are beyond the Company’s control. As such, there can be no assurance that the final outcome of any particular legal matter will not have a material adverse effect on the Company’s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10.Licenses</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Master Collaboration Agreement with The University of Edinburgh</w:t>
      </w:r>
    </w:p>
    <w:p>
      <w:pPr>
        <w:pStyle w:val="TextBody"/>
        <w:bidi w:val="0"/>
        <w:spacing w:lineRule="auto" w:line="288" w:before="200" w:after="283"/>
        <w:ind w:left="0" w:right="0" w:firstLine="360"/>
        <w:jc w:val="both"/>
        <w:rPr/>
      </w:pPr>
      <w:r>
        <w:rPr>
          <w:rFonts w:ascii="Times New Roman;serif" w:hAnsi="Times New Roman;serif"/>
          <w:b w:val="false"/>
          <w:color w:val="000000"/>
          <w:sz w:val="20"/>
        </w:rPr>
        <w:t>In December 2020, the Company entered into a Master Collaboration Agreement (the “MCA”) with the University Court of the University of Edinburgh (the “University of Edinburgh”). Under the MCA, the Company and the University of Edinburgh agreed to collaborate on certain research and development projects (“Projects”), and the Company agreed to provide funding for such Projects for a 40-month initial term, which was extended in November 2023 for an additional</w:t>
      </w:r>
      <w:r>
        <w:rPr>
          <w:color w:val="000000"/>
          <w:shd w:fill="FFFFFF" w:val="clear"/>
        </w:rPr>
        <w:t xml:space="preserve"> </w:t>
      </w:r>
      <w:r>
        <w:rPr>
          <w:rFonts w:ascii="Times New Roman;serif" w:hAnsi="Times New Roman;serif"/>
          <w:b w:val="false"/>
          <w:color w:val="000000"/>
          <w:sz w:val="20"/>
        </w:rPr>
        <w:t xml:space="preserve">33 months and may be </w:t>
      </w:r>
      <w:r>
        <w:rPr>
          <w:rFonts w:ascii="Times New Roman;serif" w:hAnsi="Times New Roman;serif"/>
          <w:b w:val="false"/>
          <w:color w:val="000000"/>
          <w:sz w:val="20"/>
          <w:shd w:fill="FFFFFF" w:val="clear"/>
        </w:rPr>
        <w:t>further</w:t>
      </w:r>
      <w:r>
        <w:rPr>
          <w:color w:val="000000"/>
        </w:rPr>
        <w:t xml:space="preserve"> </w:t>
      </w:r>
      <w:r>
        <w:rPr>
          <w:rFonts w:ascii="Times New Roman;serif" w:hAnsi="Times New Roman;serif"/>
          <w:b w:val="false"/>
          <w:color w:val="000000"/>
          <w:sz w:val="20"/>
        </w:rPr>
        <w:t>extended by mutual agreement. Under the MCA, the Company is obligated to pay semi-annual installment payments relating to funding of costs for personnel and lab consumables for the duration of the MCA. Either party may terminate the MCA for convenience upon 90 days’ notice. If the Company were to terminate the MCA, the Company would be responsible for all non-cancellable costs and commitments related to any particular Project and any and all funding costs for any person working on such Project.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73685"/>
                <wp:effectExtent l="0" t="0" r="0" b="0"/>
                <wp:wrapNone/>
                <wp:docPr id="16" name="Frame1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License Agreement with The University of Edinburgh</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In March 2022, the Company exercised an option under the MCA with respect to certain Projects and entered into a License Agreement with the University of </w:t>
      </w:r>
      <w:r>
        <w:rPr>
          <w:rFonts w:ascii="Times New Roman;serif" w:hAnsi="Times New Roman;serif"/>
          <w:b w:val="false"/>
          <w:color w:val="000000"/>
          <w:sz w:val="20"/>
          <w:shd w:fill="FFFFFF" w:val="clear"/>
        </w:rPr>
        <w:t>Edinburgh</w:t>
      </w:r>
      <w:r>
        <w:rPr>
          <w:color w:val="000000"/>
        </w:rPr>
        <w:t xml:space="preserve"> </w:t>
      </w:r>
      <w:r>
        <w:rPr>
          <w:rFonts w:ascii="Times New Roman;serif" w:hAnsi="Times New Roman;serif"/>
          <w:b w:val="false"/>
          <w:color w:val="000000"/>
          <w:sz w:val="20"/>
        </w:rPr>
        <w:t>(the “March 2022 Edinburgh License Agreement”), pursuant to which the Company licensed certain patents and know-how related to the EXACT technology and optimized MECP2 cassettes on an exclusive basis. Under the March 2022 Edinburgh License Agreement, the Company obtained an exclusive, worldwide license to the licensed patents to develop, manufacture, supply, sell, and commercialize any products that utilize the licensed patents (the “Licensed Products”) in exchange for low single-digit percentage royalties on future commercial net sales of the Licensed Products. Royalties are payable on a Licensed Product-by-Licensed Product and country-by-country basis until the later of the expiration of the last licensed patent covering such Licensed Product in the country where the Licensed Product is sold, or, if no licensed patent exists or has expired in such country, then 10 years from first commercial sale of such Licensed Product in such country (the “Royalty Term”). The term of the March 2022 Edinburgh License Agreement continues until the end of the Royalty Term and the expiration of all of the payment obligations under that license. The Company may terminate the March 2022 Edinburgh License Agreement for convenience upon 90 days’ notice. In connection with the license, the Company is also obligated to pay the University of Edinburgh up to $5.3 million in regulatory-related milestones, of which $0.3 million has been paid in connection with the Phase 1/2 study. The remaining regulatory milestone payments consist of $2.0 million payable upon achievement of the first regulatory approval (FDA or European Medicines Agency (“EMA”)) and $3.0 million payable upon achievement of the second regulatory approval (FDA or EMA). In addition, the Company may be obligated to make up to $25.0 million of sales-related milestone payments based on annual net sales of Licensed Products in excess of defined thresholds.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the expense recorded by the Company related to the MCA was $0.8 million and $0.8 million, respectively.</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License Agreement with Virovek</w:t>
      </w:r>
    </w:p>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 xml:space="preserve">In September 2020, the Company entered into a Non-Exclusive License Agreement with Virovek, Inc., pursuant to which the Company has a license to use certain patents and </w:t>
      </w:r>
      <w:r>
        <w:rPr>
          <w:rFonts w:ascii="Times New Roman;serif" w:hAnsi="Times New Roman;serif"/>
          <w:b w:val="false"/>
          <w:color w:val="000000"/>
          <w:sz w:val="20"/>
        </w:rPr>
        <w:t>know-how</w:t>
      </w:r>
      <w:r>
        <w:rPr>
          <w:color w:val="000000"/>
          <w:shd w:fill="FFFFFF" w:val="clear"/>
        </w:rPr>
        <w:t xml:space="preserve"> </w:t>
      </w:r>
      <w:r>
        <w:rPr>
          <w:rFonts w:ascii="Times New Roman;serif" w:hAnsi="Times New Roman;serif"/>
          <w:b w:val="false"/>
          <w:color w:val="000000"/>
          <w:sz w:val="20"/>
          <w:shd w:fill="FFFFFF" w:val="clear"/>
        </w:rPr>
        <w:t xml:space="preserve">on a non-exclusive basis related to the Company’s baculovirus process in exchange for low single-digit percentage royalties on future commercial net sales of each product using the baculovirus process, development milestone payments of up to </w:t>
      </w:r>
      <w:r>
        <w:rPr>
          <w:rFonts w:ascii="Times New Roman;serif" w:hAnsi="Times New Roman;serif"/>
          <w:b w:val="false"/>
          <w:color w:val="000000"/>
          <w:sz w:val="20"/>
        </w:rPr>
        <w:t xml:space="preserve">$0.2 million </w:t>
      </w:r>
      <w:r>
        <w:rPr>
          <w:rFonts w:ascii="Times New Roman;serif" w:hAnsi="Times New Roman;serif"/>
          <w:b w:val="false"/>
          <w:color w:val="000000"/>
          <w:sz w:val="20"/>
          <w:shd w:fill="FFFFFF" w:val="clear"/>
        </w:rPr>
        <w:t xml:space="preserve">in the aggregate, and a nonrefundable annual license fee. This agreement continues until the later of (i) the expiration of the last to expire patent right that covers the manufacture, use, offer for sale, sale, importation, export or supply of any licensed product, (ii) ten years after the first commercial sale of any licensed product, or (iii) the expiration of all regulatory or market exclusivities. The Company may terminate this agreement for convenience upon </w:t>
      </w:r>
      <w:r>
        <w:rPr>
          <w:rFonts w:ascii="Times New Roman;serif" w:hAnsi="Times New Roman;serif"/>
          <w:b w:val="false"/>
          <w:color w:val="000000"/>
          <w:sz w:val="20"/>
        </w:rPr>
        <w:t xml:space="preserve">60 days notice. During the six months ended June 30, 2026 and 2025, no milestone expense was recorded. </w:t>
      </w:r>
    </w:p>
    <w:p>
      <w:pPr>
        <w:pStyle w:val="TextBody"/>
        <w:bidi w:val="0"/>
        <w:spacing w:lineRule="auto" w:line="288" w:before="20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License Agreement with Sigma-Aldrich Co</w:t>
      </w:r>
    </w:p>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 xml:space="preserve">In January 2023, the Company entered into a Non-Exclusive License Agreement with Sigma-Aldrich Co. LLC, pursuant to which the Company has a license to certain patents and know-how on a non-exclusive basis related to certain cell lines used in the Company’s baculovirus process in exchange for a small annual fee on a product-by-product basis, payable once the first product candidate enters the clinic. In addition, on a product-by-product basis, the Company is obligated to pay up to </w:t>
      </w:r>
      <w:r>
        <w:rPr>
          <w:rFonts w:ascii="Times New Roman;serif" w:hAnsi="Times New Roman;serif"/>
          <w:b w:val="false"/>
          <w:color w:val="000000"/>
          <w:sz w:val="20"/>
        </w:rPr>
        <w:t xml:space="preserve">$2.5 million </w:t>
      </w:r>
      <w:r>
        <w:rPr>
          <w:rFonts w:ascii="Times New Roman;serif" w:hAnsi="Times New Roman;serif"/>
          <w:b w:val="false"/>
          <w:color w:val="000000"/>
          <w:sz w:val="20"/>
          <w:shd w:fill="FFFFFF" w:val="clear"/>
        </w:rPr>
        <w:t xml:space="preserve">in the aggregate for regulatory-related milestones. This agreement remains in force for as long as the Company continues to possess and use the licensed technology. The Company may terminate this agreement for convenience upon </w:t>
      </w:r>
      <w:r>
        <w:rPr>
          <w:rFonts w:ascii="Times New Roman;serif" w:hAnsi="Times New Roman;serif"/>
          <w:b w:val="false"/>
          <w:color w:val="000000"/>
          <w:sz w:val="20"/>
        </w:rPr>
        <w:t>60 days</w:t>
      </w:r>
      <w:r>
        <w:rPr>
          <w:color w:val="000000"/>
          <w:shd w:fill="FFFFFF" w:val="clear"/>
        </w:rPr>
        <w:t xml:space="preserve">’ </w:t>
      </w:r>
      <w:r>
        <w:rPr>
          <w:rFonts w:ascii="Times New Roman;serif" w:hAnsi="Times New Roman;serif"/>
          <w:b w:val="false"/>
          <w:color w:val="000000"/>
          <w:sz w:val="20"/>
          <w:shd w:fill="FFFFFF" w:val="clear"/>
        </w:rPr>
        <w:t xml:space="preserve">notice. </w:t>
      </w:r>
      <w:r>
        <w:rPr>
          <w:rFonts w:ascii="Times New Roman;serif" w:hAnsi="Times New Roman;serif"/>
          <w:b w:val="false"/>
          <w:color w:val="000000"/>
          <w:sz w:val="20"/>
        </w:rPr>
        <w:t xml:space="preserve">During the six months ended June 30, 2026 and 2025, no milestone expense was recorded. </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License Agreement with Stanford</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In August 2024, the Company entered into a Non-Exclusive License Agreement with the Board of Trustees of Leland Stanford Junior </w:t>
      </w:r>
      <w:r>
        <w:rPr>
          <w:rFonts w:ascii="Times New Roman;serif" w:hAnsi="Times New Roman;serif"/>
          <w:b w:val="false"/>
          <w:color w:val="000000"/>
          <w:sz w:val="20"/>
          <w:shd w:fill="FFFFFF" w:val="clear"/>
        </w:rPr>
        <w:t>University</w:t>
      </w:r>
      <w:r>
        <w:rPr>
          <w:color w:val="000000"/>
        </w:rPr>
        <w:t xml:space="preserve"> </w:t>
      </w:r>
      <w:r>
        <w:rPr>
          <w:rFonts w:ascii="Times New Roman;serif" w:hAnsi="Times New Roman;serif"/>
          <w:b w:val="false"/>
          <w:color w:val="000000"/>
          <w:sz w:val="20"/>
        </w:rPr>
        <w:t xml:space="preserve">(the “Stanford License Agreement”) to license, on a non-exclusive basis, certain biological materials used in the manufacturing process of the Company’s product candidates, including NGN-401. Over the 10-year term of the Stanford License Agreement, the Company is obligated to pay an annual license maintenance fee. </w:t>
      </w:r>
      <w:r>
        <w:rPr>
          <w:rFonts w:ascii="Times New Roman;serif" w:hAnsi="Times New Roman;serif"/>
          <w:b w:val="false"/>
          <w:color w:val="000000"/>
          <w:sz w:val="20"/>
          <w:shd w:fill="FFFFFF" w:val="clear"/>
        </w:rPr>
        <w:t>The Company may terminate this agreement for convenience upon 30 days’ notice</w:t>
      </w:r>
      <w:r>
        <w:rPr>
          <w:rFonts w:ascii="Times New Roman;serif" w:hAnsi="Times New Roman;serif"/>
          <w:b w:val="false"/>
          <w:color w:val="000000"/>
          <w:sz w:val="20"/>
        </w:rPr>
        <w:t>. During the six months ended June 30, 2026 and 2025, no milestone expense was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73685"/>
                <wp:effectExtent l="0" t="0" r="0" b="0"/>
                <wp:wrapNone/>
                <wp:docPr id="17" name="Frame1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11.Stockholders’ Equity </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Common Stock and Pre-funded Warrants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2025, the Company entered into an exchange agreement with existing stockholders to exchange an aggregate of 667,500 shares of the Company’s common stock for pre-funded warrants to purchase an aggregate of 667,563 shares of the Company’s common stock at an exercise price of $0.001 per share. The exchange was executed to facilitate the investor’s beneficial ownership thresholds. The exchange was accounted for as an equity-for-equity transaction. The Company derecognized the common shares and recognized an equivalent value in pre-funded warrants, with no gain or loss recognized. </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At-The-Market Offering of Shares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August 2025, the Company entered into an at-the-market (“ATM”) sales agreement (the “Sales Agreement”) with Leerink Partners, LLC (“Leerink”), as sales agent, pursuant to which the Company may offer and sell, from time to time, shares of the Company’s common stock with an aggregate price up to $150.0 million through Leerink. During the three months ended June 30, 2026, the Company sold 209,529 shares of the Company’s common stock pursuant to the Sales Agreement, and received $5.9 million in net proceeds after deducting commissions and other offering expenses. As of June 30, 2026, the remaining amount authorized for sale under the Sales Agreement was $112.9 million.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Sales Agreement, the Company incurred approximately $0.9 million of offering costs, of which $0.2 million was deferred. The deferred offering costs are recognized ratably as a reduction to additional paid-in-capital as shares are sold under the Sales Agreement. As of June 30, 2026, approximately $0.2 million of deferred offering costs remained on the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73685"/>
                <wp:effectExtent l="0" t="0" r="0" b="0"/>
                <wp:wrapNone/>
                <wp:docPr id="18" name="Frame1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Pre-funded Warrants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pre-funded warrants outstanding to purchase an aggregate of 6,792,559 shares of the Company’s common stock as of June 30, 2026. The pre-funded warrants are exercisable at any time for exercise prices ranging from $0.000001 to $0.001, except that the pre-funded warrants cannot be exercised by a holder if, after giving effect thereto, such holder would beneficially own more than 9.99% of the Company’s outstanding common stock, subject to certain exceptions. However, any holder may increase or decrease such percentage to any other percentage (not in excess of 19.99%) upon at least 61 days’ prior notice from the holder to the Company. The holders of the pre-funded warrants will not have the right to vote the shares underlying the pre-funded warrants on any matter except to the extent required by Delaware law. Information on the outstanding warrants is as follows: </w:t>
      </w:r>
    </w:p>
    <w:tbl>
      <w:tblPr>
        <w:tblW w:w="9785" w:type="dxa"/>
        <w:jc w:val="left"/>
        <w:tblInd w:w="0" w:type="dxa"/>
        <w:tblLayout w:type="fixed"/>
        <w:tblCellMar>
          <w:top w:w="28" w:type="dxa"/>
          <w:left w:w="28" w:type="dxa"/>
          <w:bottom w:w="28" w:type="dxa"/>
          <w:right w:w="28" w:type="dxa"/>
        </w:tblCellMar>
      </w:tblPr>
      <w:tblGrid>
        <w:gridCol w:w="1055"/>
        <w:gridCol w:w="930"/>
        <w:gridCol w:w="939"/>
        <w:gridCol w:w="109"/>
        <w:gridCol w:w="109"/>
        <w:gridCol w:w="109"/>
        <w:gridCol w:w="225"/>
        <w:gridCol w:w="994"/>
        <w:gridCol w:w="116"/>
        <w:gridCol w:w="109"/>
        <w:gridCol w:w="109"/>
        <w:gridCol w:w="109"/>
        <w:gridCol w:w="309"/>
        <w:gridCol w:w="309"/>
        <w:gridCol w:w="313"/>
        <w:gridCol w:w="109"/>
        <w:gridCol w:w="109"/>
        <w:gridCol w:w="109"/>
        <w:gridCol w:w="1056"/>
        <w:gridCol w:w="1056"/>
        <w:gridCol w:w="1502"/>
      </w:tblGrid>
      <w:tr>
        <w:trPr/>
        <w:tc>
          <w:tcPr>
            <w:tcW w:w="105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Type of Financing</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pre-funded warrant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0.000001 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Legacy pre-funded warrants outstanding</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pre-funded warrant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0.000001 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1,708,332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2023 preferred stock conversion</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pre-funded warrant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0.000001 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2023 Pre-Closing Financing</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pre-funded warrant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2,165,042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2024 private placement</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pre-funded warrant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667,563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2025 common stock conversion</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6,792,559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Subsequent to June 30, 2026, the Company issued pre-funded warrants pursuant to an underwritten public offering of its common stock and pre-funded warrants. For additional information regarding the issuance of pre-funded warrants, see Note 14, </w:t>
      </w:r>
      <w:r>
        <w:rPr>
          <w:rFonts w:ascii="Times New Roman;serif" w:hAnsi="Times New Roman;serif"/>
          <w:b w:val="false"/>
          <w:i/>
          <w:color w:val="000000"/>
          <w:sz w:val="20"/>
        </w:rPr>
        <w:t>Subsequent Events</w:t>
      </w:r>
      <w:r>
        <w:rPr>
          <w:rFonts w:ascii="Times New Roman;serif" w:hAnsi="Times New Roman;serif"/>
          <w:b w:val="false"/>
          <w:color w:val="000000"/>
          <w:sz w:val="20"/>
        </w:rPr>
        <w: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had reserved shares of the Company’s common stock for future issuance as follows:</w:t>
      </w:r>
    </w:p>
    <w:tbl>
      <w:tblPr>
        <w:tblW w:w="10205" w:type="dxa"/>
        <w:jc w:val="left"/>
        <w:tblInd w:w="0" w:type="dxa"/>
        <w:tblLayout w:type="fixed"/>
        <w:tblCellMar>
          <w:top w:w="28" w:type="dxa"/>
          <w:left w:w="28" w:type="dxa"/>
          <w:bottom w:w="28" w:type="dxa"/>
          <w:right w:w="28" w:type="dxa"/>
        </w:tblCellMar>
      </w:tblPr>
      <w:tblGrid>
        <w:gridCol w:w="2428"/>
        <w:gridCol w:w="2121"/>
        <w:gridCol w:w="2165"/>
        <w:gridCol w:w="488"/>
        <w:gridCol w:w="488"/>
        <w:gridCol w:w="389"/>
        <w:gridCol w:w="148"/>
        <w:gridCol w:w="148"/>
        <w:gridCol w:w="150"/>
        <w:gridCol w:w="503"/>
        <w:gridCol w:w="486"/>
        <w:gridCol w:w="691"/>
      </w:tblGrid>
      <w:tr>
        <w:trPr/>
        <w:tc>
          <w:tcPr>
            <w:tcW w:w="2428"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287,922 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256,361 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performance stock units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252,124 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252,124 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2,977,194 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2,088,550 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grant under the 2023 Equity Incentive Plan</w:t>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1,355,092</w:t>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1,277,826</w:t>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grant under the 2025 Inducement Plan</w:t>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157,445</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394,055</w:t>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issuance under the 2023 Employee Stock Purchase Plan</w:t>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532,096</w:t>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313,088</w:t>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Pre-funded warrants outstanding</w:t>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6,792,559</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6,792,559</w:t>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stock reserved</w:t>
            </w:r>
          </w:p>
        </w:tc>
        <w:tc>
          <w:tcPr>
            <w:tcW w:w="136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12,354,432</w:t>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11,374,563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12.Stock-Based Compensation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Company’s board of directors approved the Neurogene Inc. 2025 Inducement Plan, which reserves for issuance up to 500,000 shares of the Company’s common stock underlying inducement awards.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condensed consolidated statements of operations (in thousands):</w:t>
      </w:r>
    </w:p>
    <w:tbl>
      <w:tblPr>
        <w:tblW w:w="7964" w:type="dxa"/>
        <w:jc w:val="left"/>
        <w:tblInd w:w="0" w:type="dxa"/>
        <w:tblLayout w:type="fixed"/>
        <w:tblCellMar>
          <w:top w:w="28" w:type="dxa"/>
          <w:left w:w="28" w:type="dxa"/>
          <w:bottom w:w="28" w:type="dxa"/>
          <w:right w:w="28" w:type="dxa"/>
        </w:tblCellMar>
      </w:tblPr>
      <w:tblGrid>
        <w:gridCol w:w="1120"/>
        <w:gridCol w:w="982"/>
        <w:gridCol w:w="987"/>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73685"/>
                <wp:effectExtent l="0" t="0" r="0" b="0"/>
                <wp:wrapNone/>
                <wp:docPr id="19" name="Frame1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option activity:</w:t>
      </w:r>
    </w:p>
    <w:tbl>
      <w:tblPr>
        <w:tblW w:w="7370" w:type="dxa"/>
        <w:jc w:val="left"/>
        <w:tblInd w:w="0" w:type="dxa"/>
        <w:tblLayout w:type="fixed"/>
        <w:tblCellMar>
          <w:top w:w="28" w:type="dxa"/>
          <w:left w:w="28" w:type="dxa"/>
          <w:bottom w:w="28" w:type="dxa"/>
          <w:right w:w="28" w:type="dxa"/>
        </w:tblCellMar>
      </w:tblPr>
      <w:tblGrid>
        <w:gridCol w:w="1065"/>
        <w:gridCol w:w="932"/>
        <w:gridCol w:w="942"/>
        <w:gridCol w:w="398"/>
        <w:gridCol w:w="398"/>
        <w:gridCol w:w="313"/>
        <w:gridCol w:w="109"/>
        <w:gridCol w:w="109"/>
        <w:gridCol w:w="109"/>
        <w:gridCol w:w="287"/>
        <w:gridCol w:w="839"/>
        <w:gridCol w:w="148"/>
        <w:gridCol w:w="109"/>
        <w:gridCol w:w="109"/>
        <w:gridCol w:w="109"/>
        <w:gridCol w:w="407"/>
        <w:gridCol w:w="407"/>
        <w:gridCol w:w="580"/>
      </w:tblGrid>
      <w:tr>
        <w:trPr/>
        <w:tc>
          <w:tcPr>
            <w:tcW w:w="106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Options</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w:t>
              <w:br/>
              <w:t>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remaining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contractual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term (in years)</w:t>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2,088,550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988,533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(22,698)</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Expired/Forfeited</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(77,191)</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2,977,194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110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1,177,772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r>
    </w:tbl>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aggregate intrinsic value of outstanding options and exercisable options was approximately $31.1 million and $11.3 million, respectively. The aggregate intrinsic value of options exercised was $0.3 million for the six months ended June 30, 2026.</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weighted-average grant date fair value of options granted was $15.45 and $13.18 per share for the six months ended June 30, 2026 and 2025, respectively. The Company recorded stock-based compensation related to stock options of approximately $3.1 million and $2.2 million for the three months ended June 30, 2026 and 2025, respectively. The Company recorded stock-based compensation related to stock options of approximately $5.5 million and $4.0 million for the six months ended June 30, 2026 and 2025, respectively. As of June 30, 2026, the total unrecognized compensation expense related to unvested stock option awards was approximately $27.8 million, which the Company expects to recognize over a weighted-average period of 2.79 years.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fair value of each option was estimated on the grant date using the weighted-average assumptions in the table below:</w:t>
      </w:r>
    </w:p>
    <w:tbl>
      <w:tblPr>
        <w:tblW w:w="9359" w:type="dxa"/>
        <w:jc w:val="left"/>
        <w:tblInd w:w="0" w:type="dxa"/>
        <w:tblLayout w:type="fixed"/>
        <w:tblCellMar>
          <w:top w:w="28" w:type="dxa"/>
          <w:left w:w="28" w:type="dxa"/>
          <w:bottom w:w="28" w:type="dxa"/>
          <w:right w:w="28" w:type="dxa"/>
        </w:tblCellMar>
      </w:tblPr>
      <w:tblGrid>
        <w:gridCol w:w="772"/>
        <w:gridCol w:w="678"/>
        <w:gridCol w:w="680"/>
        <w:gridCol w:w="525"/>
        <w:gridCol w:w="525"/>
        <w:gridCol w:w="375"/>
        <w:gridCol w:w="208"/>
        <w:gridCol w:w="208"/>
        <w:gridCol w:w="208"/>
        <w:gridCol w:w="525"/>
        <w:gridCol w:w="525"/>
        <w:gridCol w:w="375"/>
        <w:gridCol w:w="109"/>
        <w:gridCol w:w="109"/>
        <w:gridCol w:w="109"/>
        <w:gridCol w:w="482"/>
        <w:gridCol w:w="482"/>
        <w:gridCol w:w="461"/>
        <w:gridCol w:w="178"/>
        <w:gridCol w:w="178"/>
        <w:gridCol w:w="178"/>
        <w:gridCol w:w="457"/>
        <w:gridCol w:w="457"/>
        <w:gridCol w:w="555"/>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96.14%-97.08%</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94.60%-96.19%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96.14%-97.43%</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93.99%-96.49%</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4.03%-4.21%</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3.86%-4.05%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3.64%-4.21%</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3.86% - 4.42% </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6.03-6.07</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5.27-6.08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5.27-6.98</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5.27 - 6.96</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73685"/>
                <wp:effectExtent l="0" t="0" r="0" b="0"/>
                <wp:wrapNone/>
                <wp:docPr id="20" name="Frame2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before="200" w:after="283"/>
        <w:ind w:left="0" w:right="0" w:firstLine="360"/>
        <w:jc w:val="both"/>
        <w:rPr/>
      </w:pPr>
      <w:r>
        <w:rPr/>
      </w:r>
    </w:p>
    <w:p>
      <w:pPr>
        <w:pStyle w:val="TextBody"/>
        <w:bidi w:val="0"/>
        <w:spacing w:lineRule="auto" w:line="288" w:before="3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 Company’s restricted stock unit (“RSU”) activity and related information for the six months ended June 30, 2026 is as follows:</w:t>
      </w:r>
    </w:p>
    <w:tbl>
      <w:tblPr>
        <w:tblW w:w="8320" w:type="dxa"/>
        <w:jc w:val="left"/>
        <w:tblInd w:w="0" w:type="dxa"/>
        <w:tblLayout w:type="fixed"/>
        <w:tblCellMar>
          <w:top w:w="28" w:type="dxa"/>
          <w:left w:w="28" w:type="dxa"/>
          <w:bottom w:w="28" w:type="dxa"/>
          <w:right w:w="28" w:type="dxa"/>
        </w:tblCellMar>
      </w:tblPr>
      <w:tblGrid>
        <w:gridCol w:w="977"/>
        <w:gridCol w:w="855"/>
        <w:gridCol w:w="867"/>
        <w:gridCol w:w="539"/>
        <w:gridCol w:w="539"/>
        <w:gridCol w:w="541"/>
        <w:gridCol w:w="109"/>
        <w:gridCol w:w="109"/>
        <w:gridCol w:w="109"/>
        <w:gridCol w:w="790"/>
        <w:gridCol w:w="2308"/>
        <w:gridCol w:w="577"/>
      </w:tblGrid>
      <w:tr>
        <w:trPr/>
        <w:tc>
          <w:tcPr>
            <w:tcW w:w="97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RSUs</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256,361 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150,430 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vested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(104,662)</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28.16 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forfeited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(14,207)</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June 30, 2026</w:t>
            </w:r>
          </w:p>
        </w:tc>
        <w:tc>
          <w:tcPr>
            <w:tcW w:w="10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287,922 </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recorded stock-based compensation expense related to RSUs of approximately $0.9 million and $0.8 million for the three months ended June 30, 2026 and 2025, respectively. The Company recorded stock-based compensation expense related to RSUs of approximately $1.7 million and $1.4 million for the six months ended June 30, 2026 and 2025, respectively. As of June 30, 2026, there was approximately $4.9 million of unrecognized compensation cost related to unvested RSUs, which is expected to be recognized over a remaining weighted average vesting period of approximately 1.83 years.</w:t>
      </w:r>
    </w:p>
    <w:p>
      <w:pPr>
        <w:pStyle w:val="TextBody"/>
        <w:bidi w:val="0"/>
        <w:spacing w:lineRule="auto" w:line="240" w:before="3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 Company’s performance stock unit (“PSU”) activity and related information for the six months ended June 30, 2026 is as follows:</w:t>
      </w:r>
    </w:p>
    <w:tbl>
      <w:tblPr>
        <w:tblW w:w="8411" w:type="dxa"/>
        <w:jc w:val="left"/>
        <w:tblInd w:w="0" w:type="dxa"/>
        <w:tblLayout w:type="fixed"/>
        <w:tblCellMar>
          <w:top w:w="28" w:type="dxa"/>
          <w:left w:w="28" w:type="dxa"/>
          <w:bottom w:w="28" w:type="dxa"/>
          <w:right w:w="28" w:type="dxa"/>
        </w:tblCellMar>
      </w:tblPr>
      <w:tblGrid>
        <w:gridCol w:w="1007"/>
        <w:gridCol w:w="887"/>
        <w:gridCol w:w="896"/>
        <w:gridCol w:w="539"/>
        <w:gridCol w:w="539"/>
        <w:gridCol w:w="541"/>
        <w:gridCol w:w="109"/>
        <w:gridCol w:w="109"/>
        <w:gridCol w:w="109"/>
        <w:gridCol w:w="790"/>
        <w:gridCol w:w="2308"/>
        <w:gridCol w:w="577"/>
      </w:tblGrid>
      <w:tr>
        <w:trPr/>
        <w:tc>
          <w:tcPr>
            <w:tcW w:w="100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PSUs</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252,124 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36.06 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units 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units vested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units forfeited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June 30, 2026</w:t>
            </w:r>
          </w:p>
        </w:tc>
        <w:tc>
          <w:tcPr>
            <w:tcW w:w="10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252,124 </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36.06 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PSUs were granted with vesting in two equal tranches based on certain performance conditions. Each PSU entitles the holder to receive one share of the Company's common stock when the PSU vests. Stock-based compensation expense for PSUs will be recognized when it is probable that the performance conditions will be achieved. During 2025, the performance conditions underlying the first tranche of 126,062 PSUs were achieved for the first milestone and are currently considered probable to vest. As of June 30, 2026, the performance conditions underlying the second tranche of 126,062 PSUs were deemed probable of achievement and considered probable to vest. The Company recorded stock-based compensation expense related to PSUs of approximately $3.9 million and $0.4 million for the three months ended June 30, 2026 and 2025, respectively. The Company recorded stock-based compensation expense related to PSUs of approximately $4.2 million and $2.0 million for the six months ended June 30, 2026 and 2025, respectively. As of June 30, 2026, there was approximately $2.1 million of unrecognized compensation cost related to PSUs, which is expected to be recognized over a remaining weighted average vesting period of approximately 0.70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73685"/>
                <wp:effectExtent l="0" t="0" r="0" b="0"/>
                <wp:wrapNone/>
                <wp:docPr id="21" name="Frame2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2023 Employee Stock Purchase Plan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 issued 3,815 shares of common stock at a purchase price of $17.65 per share under the 2023 Employee Stock Purchase Plan. Cash received from the purchases under the plan for the six months ended June 30, 2026 was approximately $0.1 million.</w:t>
      </w:r>
    </w:p>
    <w:p>
      <w:pPr>
        <w:pStyle w:val="TextBody"/>
        <w:bidi w:val="0"/>
        <w:spacing w:before="20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73685"/>
                <wp:effectExtent l="0" t="0" r="0" b="0"/>
                <wp:wrapNone/>
                <wp:docPr id="22" name="Frame2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13.Segment Information</w:t>
      </w:r>
    </w:p>
    <w:p>
      <w:pPr>
        <w:pStyle w:val="TextBody"/>
        <w:bidi w:val="0"/>
        <w:spacing w:lineRule="auto" w:line="288" w:before="200" w:after="283"/>
        <w:ind w:left="0" w:right="0" w:firstLine="360"/>
        <w:jc w:val="both"/>
        <w:rPr/>
      </w:pPr>
      <w:r>
        <w:rPr>
          <w:rFonts w:ascii="Times New Roman;serif" w:hAnsi="Times New Roman;serif"/>
          <w:b w:val="false"/>
          <w:color w:val="000000"/>
          <w:sz w:val="20"/>
        </w:rPr>
        <w:t>Operating segments are defined as components of an entity for which separate financial information is available and that is regularly reviewed by the CODMs in deciding how to allocate resources and in assessing performance. The Company’s CODMs are (i) the Chief Executive Officer and (ii) the President and Chief Financial Officer. The Company is a clinical-stage biotechnology company that operates as a single operating segment and has one reportable segment. In addition to reviewing the expenses in the consolidated statement of operations, the CODMs are provided with research and development costs for Rett syndrome, Batten disease and Early Discovery, as well as categorized general and administrative expenses. The research and development programs are considered significant by the Company. The CODMs assess the financial performance of the segment and decide how to allocate resources based on net loss on a consolidated basis. The measure of segment assets is reported on the condensed consolidated balance sheets as total consolidated assets</w:t>
      </w:r>
      <w:r>
        <w:rPr>
          <w:rFonts w:ascii="Aptos;sans-serif" w:hAnsi="Aptos;sans-serif"/>
          <w:b w:val="false"/>
          <w:color w:val="000000"/>
          <w:sz w:val="22"/>
        </w:rPr>
        <w:t xml:space="preserve">. </w:t>
      </w:r>
      <w:r>
        <w:rPr>
          <w:rFonts w:ascii="Times New Roman;serif" w:hAnsi="Times New Roman;serif"/>
          <w:b w:val="false"/>
          <w:color w:val="000000"/>
          <w:sz w:val="20"/>
        </w:rPr>
        <w:t xml:space="preserve">The CODMs also assess performance of the segment according to preclinical and clinical data, the stage of development of the research and development programs, along with program specific expenses and market conditions in the pharmaceutical and biotechnology sectors.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2025, the Company did not have any significant long-lived assets located outside of the United States. Information on the segment and reconciliation to net loss is as follows (in thousands):</w:t>
      </w:r>
    </w:p>
    <w:tbl>
      <w:tblPr>
        <w:tblW w:w="10205" w:type="dxa"/>
        <w:jc w:val="left"/>
        <w:tblInd w:w="0" w:type="dxa"/>
        <w:tblLayout w:type="fixed"/>
        <w:tblCellMar>
          <w:top w:w="28" w:type="dxa"/>
          <w:left w:w="28" w:type="dxa"/>
          <w:bottom w:w="28" w:type="dxa"/>
          <w:right w:w="28" w:type="dxa"/>
        </w:tblCellMar>
      </w:tblPr>
      <w:tblGrid>
        <w:gridCol w:w="1472"/>
        <w:gridCol w:w="934"/>
        <w:gridCol w:w="917"/>
        <w:gridCol w:w="272"/>
        <w:gridCol w:w="987"/>
        <w:gridCol w:w="140"/>
        <w:gridCol w:w="140"/>
        <w:gridCol w:w="140"/>
        <w:gridCol w:w="140"/>
        <w:gridCol w:w="272"/>
        <w:gridCol w:w="987"/>
        <w:gridCol w:w="140"/>
        <w:gridCol w:w="139"/>
        <w:gridCol w:w="139"/>
        <w:gridCol w:w="139"/>
        <w:gridCol w:w="269"/>
        <w:gridCol w:w="975"/>
        <w:gridCol w:w="139"/>
        <w:gridCol w:w="139"/>
        <w:gridCol w:w="139"/>
        <w:gridCol w:w="139"/>
        <w:gridCol w:w="269"/>
        <w:gridCol w:w="975"/>
        <w:gridCol w:w="203"/>
      </w:tblGrid>
      <w:tr>
        <w:trPr/>
        <w:tc>
          <w:tcPr>
            <w:tcW w:w="147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Program specific expenses:</w:t>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Rett syndrome</w:t>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Batten disease</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Early Discovery</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internal expenses:</w:t>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(a)</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25,468 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50,618 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37,131 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specific expenses:</w:t>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w:t>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and consultant fees</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Office-related</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(b)</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6,715 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19,401 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14,869 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income</w:t>
            </w:r>
            <w:r>
              <w:rPr>
                <w:rFonts w:ascii="Times New Roman;serif" w:hAnsi="Times New Roman;serif"/>
                <w:b w:val="false"/>
                <w:color w:val="000000"/>
                <w:sz w:val="13"/>
              </w:rPr>
              <w:t>(c)</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(34,488)</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(22,016)</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(65,422)</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(44,663)</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3"/>
              </w:rPr>
              <w:t xml:space="preserve">(a) </w:t>
            </w:r>
            <w:r>
              <w:rPr>
                <w:rFonts w:ascii="Times New Roman;serif" w:hAnsi="Times New Roman;serif"/>
                <w:b w:val="false"/>
                <w:color w:val="000000"/>
                <w:sz w:val="20"/>
              </w:rPr>
              <w:t xml:space="preserve">The Other expense segment items category within research and development expense is mainly comprised of: Consultant fees for programs not specified above, IT software and network support and rent expenses. </w:t>
            </w:r>
          </w:p>
          <w:p>
            <w:pPr>
              <w:pStyle w:val="TableContents"/>
              <w:bidi w:val="0"/>
              <w:spacing w:lineRule="auto" w:line="288" w:before="0" w:after="0"/>
              <w:jc w:val="both"/>
              <w:rPr/>
            </w:pPr>
            <w:r>
              <w:rPr>
                <w:rFonts w:ascii="Times New Roman;serif" w:hAnsi="Times New Roman;serif"/>
                <w:b w:val="false"/>
                <w:color w:val="000000"/>
                <w:sz w:val="13"/>
              </w:rPr>
              <w:t xml:space="preserve">(b) </w:t>
            </w:r>
            <w:r>
              <w:rPr>
                <w:rFonts w:ascii="Times New Roman;serif" w:hAnsi="Times New Roman;serif"/>
                <w:b w:val="false"/>
                <w:color w:val="000000"/>
                <w:sz w:val="20"/>
              </w:rPr>
              <w:t xml:space="preserve">The Other expense segment items category within general and administrative expense is mainly comprised of: Insurance, IT software and network support, market research, and tax expenses. </w:t>
            </w:r>
          </w:p>
          <w:p>
            <w:pPr>
              <w:pStyle w:val="TableContents"/>
              <w:bidi w:val="0"/>
              <w:spacing w:lineRule="auto" w:line="288" w:before="0" w:after="0"/>
              <w:jc w:val="both"/>
              <w:rPr/>
            </w:pPr>
            <w:r>
              <w:rPr>
                <w:rFonts w:ascii="Times New Roman;serif" w:hAnsi="Times New Roman;serif"/>
                <w:b w:val="false"/>
                <w:color w:val="000000"/>
                <w:sz w:val="13"/>
              </w:rPr>
              <w:t xml:space="preserve">(c) </w:t>
            </w:r>
            <w:r>
              <w:rPr>
                <w:rFonts w:ascii="Times New Roman;serif" w:hAnsi="Times New Roman;serif"/>
                <w:b w:val="false"/>
                <w:color w:val="000000"/>
                <w:sz w:val="20"/>
              </w:rPr>
              <w:t>Other income included in net loss is mainly comprised of: Interest income, interest expense, other income and other expense.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73685"/>
                <wp:effectExtent l="0" t="0" r="0" b="0"/>
                <wp:wrapNone/>
                <wp:docPr id="23" name="Frame2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14.Subsequent Events</w:t>
      </w:r>
    </w:p>
    <w:p>
      <w:pPr>
        <w:pStyle w:val="TextBody"/>
        <w:bidi w:val="0"/>
        <w:spacing w:lineRule="auto" w:line="288" w:before="20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Public Offering of Common Stock and Pre-Funded Warrants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2026, the Company issued and sold an aggregate of 4,124,999 shares of its common stock (inclusive of 624,999 shares of common stock pursuant to the exercise in full of the underwriters’ option to purchase additional shares) at a public offering price of $30.00 per share and, in lieu of common stock to certain investors, pre-funded warrants to purchase up to 666,666 shares of the Company’s common stock at a public offering price of $29.999999 per pre-funded warrant. The Company received aggregate gross proceeds of approximately $143.8 million, or approximately $134.8 million, after deducting the underwriters’ discount and commissions and estimated offering expenses.</w:t>
      </w:r>
    </w:p>
    <w:p>
      <w:pPr>
        <w:pStyle w:val="TextBody"/>
        <w:bidi w:val="0"/>
        <w:spacing w:before="200" w:after="283"/>
        <w:ind w:left="0" w:right="0" w:firstLine="360"/>
        <w:jc w:val="left"/>
        <w:rPr/>
      </w:pPr>
      <w:r>
        <w:rPr/>
      </w:r>
    </w:p>
    <w:p>
      <w:pPr>
        <w:pStyle w:val="TextBody"/>
        <w:bidi w:val="0"/>
        <w:spacing w:before="20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73685"/>
                <wp:effectExtent l="0" t="0" r="0" b="0"/>
                <wp:wrapNone/>
                <wp:docPr id="24" name="Frame2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360" w:after="283"/>
        <w:ind w:left="0" w:right="0" w:firstLine="3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MANAGEMENT’S DISCUSSION AND ANALYSIS OF FINANCIAL CONDITION AND RESULTS OF OPERATIONS</w:t>
      </w:r>
    </w:p>
    <w:p>
      <w:pPr>
        <w:pStyle w:val="TextBody"/>
        <w:bidi w:val="0"/>
        <w:spacing w:lineRule="auto" w:line="288" w:before="200" w:after="283"/>
        <w:ind w:left="0" w:right="0" w:firstLine="360"/>
        <w:jc w:val="both"/>
        <w:rPr/>
      </w:pPr>
      <w:r>
        <w:rPr>
          <w:rFonts w:ascii="Times New Roman;serif" w:hAnsi="Times New Roman;serif"/>
          <w:b w:val="false"/>
          <w:i/>
          <w:color w:val="000000"/>
          <w:sz w:val="20"/>
          <w:shd w:fill="FFFFFF" w:val="clear"/>
        </w:rPr>
        <w:t xml:space="preserve">You should read the following discussion and analysis of our financial condition and results of operations in conjunction with the unaudited interim condensed consolidated financial </w:t>
      </w:r>
      <w:r>
        <w:rPr>
          <w:rFonts w:ascii="Times New Roman;serif" w:hAnsi="Times New Roman;serif"/>
          <w:b w:val="false"/>
          <w:i/>
          <w:color w:val="000000"/>
          <w:sz w:val="20"/>
        </w:rPr>
        <w:t>statements</w:t>
      </w:r>
      <w:r>
        <w:rPr>
          <w:color w:val="000000"/>
          <w:shd w:fill="FFFFFF" w:val="clear"/>
        </w:rPr>
        <w:t xml:space="preserve"> </w:t>
      </w:r>
      <w:r>
        <w:rPr>
          <w:rFonts w:ascii="Times New Roman;serif" w:hAnsi="Times New Roman;serif"/>
          <w:b w:val="false"/>
          <w:i/>
          <w:color w:val="000000"/>
          <w:sz w:val="20"/>
          <w:shd w:fill="FFFFFF" w:val="clear"/>
        </w:rPr>
        <w:t>and notes thereto included elsewhere in this report and our audited consolidated financial statements and notes thereto included as part of our Annual Report on Form 10-K for the year ended December 31, 2025, filed with the SEC on March 24, 2026 (“Annual Report on Form 10-K”). Some of the information contained in this discussion and analysis or set forth elsewhere in this Quarterly Report on Form 10-Q, including information with respect to our plans and strategy for our business, include forward-looking statements that involve risks, uncertainties, and assumptions. As a result of many factors, including those factors set forth in the section entitled “Risk Factors,” our actual results or outcomes, or the timing of our results or outcomes, could differ materially from the results or outcomes described in or implied by these forward-looking statements. Factors that could cause or contribute to such differences include, but are not limited to, those discussed in the section of this report entitled “Risk Factors.” You should carefully read the “Cautionary Note About Forward-Looking Statements” and “Risk Factors” sections of the Annual Report on Form 10-K as well as the risk factors included in Part II, Item 1A of this Quarterly Report on Form 10-Q to gain an understanding of the important factors that could cause actual results to differ materially from the results described below.</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Forward-looking statements are inherently uncertain and you should not place undue reliance on these statements, which speak only as of the date that they were made. These cautionary statements should be considered in connection with any written or oral forward-looking statements that we may issue in the future. Except as required by law, we do not undertake any obligation to revise or update publicly any forward-looking statements after completion of the filing of this Quarterly Report on Form 10</w:t>
        <w:noBreakHyphen/>
        <w:t>Q to reflect later events or circumstances or to reflect the occurrence of unanticipated events, or otherwise.</w:t>
      </w:r>
    </w:p>
    <w:p>
      <w:pPr>
        <w:pStyle w:val="TextBody"/>
        <w:bidi w:val="0"/>
        <w:spacing w:lineRule="auto" w:line="288" w:before="200" w:after="283"/>
        <w:ind w:left="0" w:right="0" w:firstLine="360"/>
        <w:jc w:val="both"/>
        <w:rPr/>
      </w:pPr>
      <w:r>
        <w:rPr>
          <w:rFonts w:ascii="Times New Roman;serif" w:hAnsi="Times New Roman;serif"/>
          <w:b w:val="false"/>
          <w:i/>
          <w:color w:val="000000"/>
          <w:sz w:val="20"/>
          <w:shd w:fill="FFFFFF" w:val="clear"/>
        </w:rPr>
        <w:t xml:space="preserve">In this section, references to “we,” “our,” “us,” and “the Company” refer to post-merger Neurogene Inc. and </w:t>
      </w:r>
      <w:r>
        <w:rPr>
          <w:rFonts w:ascii="Times New Roman;serif" w:hAnsi="Times New Roman;serif"/>
          <w:b w:val="false"/>
          <w:i/>
          <w:color w:val="000000"/>
          <w:sz w:val="20"/>
        </w:rPr>
        <w:t>our wholly owned subsidiary incorporated in the state of Nevada, also named Neurogene Inc. (“</w:t>
      </w:r>
      <w:r>
        <w:rPr>
          <w:rFonts w:ascii="Times New Roman;serif" w:hAnsi="Times New Roman;serif"/>
          <w:b w:val="false"/>
          <w:i/>
          <w:color w:val="000000"/>
          <w:sz w:val="20"/>
          <w:shd w:fill="FFFFFF" w:val="clear"/>
        </w:rPr>
        <w:t>Neurogene OpCo”), unless otherwise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Overview</w:t>
      </w:r>
    </w:p>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Despite recent scientific advances in genetics, most neurological diseases, particularly those with devastating consequences to patients, are left untreated. Conventional gene therapy is an attractive potential treatment approach for only a limited number of monogenic diseases due to the challenges caused by the complex biology of neurological diseases and by inherent variable transgene uptake and expression. We are a clinical-stage biotechnology company committed to overcoming these limitations and turning today’s complex devastating neurological diseases into treatable conditions. We are building a robust and differentiated product portfolio of genetic medicines for rare neurological diseases with high unmet need not otherwise addressable by conventional gene therapy. One approach we are taking harnesses our proprietary transgene regulation technology, EXACT</w:t>
      </w:r>
      <w:r>
        <w:rPr>
          <w:rFonts w:ascii="Times New Roman;serif" w:hAnsi="Times New Roman;serif"/>
          <w:b w:val="false"/>
          <w:color w:val="000000"/>
          <w:sz w:val="13"/>
          <w:shd w:fill="FFFFFF" w:val="clear"/>
        </w:rPr>
        <w:t>TM</w:t>
      </w:r>
      <w:r>
        <w:rPr>
          <w:color w:val="000000"/>
          <w:shd w:fill="FFFFFF" w:val="clear"/>
        </w:rPr>
        <w:t xml:space="preserve"> </w:t>
      </w:r>
      <w:r>
        <w:rPr>
          <w:rFonts w:ascii="Times New Roman;serif" w:hAnsi="Times New Roman;serif"/>
          <w:b w:val="false"/>
          <w:color w:val="000000"/>
          <w:sz w:val="20"/>
          <w:shd w:fill="FFFFFF" w:val="clear"/>
        </w:rPr>
        <w:t>(Expression Attenuation via Construct Tuning), that utilizes microRNA-based genetic circuits designed to deliver therapeutic levels of transgene to key areas of the brain that underlie neurological disease pathology.</w:t>
      </w:r>
    </w:p>
    <w:p>
      <w:pPr>
        <w:pStyle w:val="TextBody"/>
        <w:bidi w:val="0"/>
        <w:spacing w:lineRule="auto" w:line="288" w:before="200" w:after="283"/>
        <w:ind w:left="0" w:right="0" w:firstLine="360"/>
        <w:jc w:val="both"/>
        <w:rPr/>
      </w:pPr>
      <w:r>
        <w:rPr>
          <w:rFonts w:ascii="Times New Roman;serif" w:hAnsi="Times New Roman;serif"/>
          <w:b w:val="false"/>
          <w:color w:val="000000"/>
          <w:sz w:val="20"/>
        </w:rPr>
        <w:t>Our lead clinical-stage program, NGN-401, is in development for the treatment of Rett syndrome, a severe and progressive neurodevelopmental disease with substantial neurological and physical impairments and significant unmet need. NGN-401 is purposefully designed to utilize the EXACT platform</w:t>
      </w:r>
      <w:r>
        <w:rPr>
          <w:color w:val="000000"/>
          <w:shd w:fill="FFFFFF" w:val="clear"/>
        </w:rPr>
        <w:t xml:space="preserve"> </w:t>
      </w:r>
      <w:r>
        <w:rPr>
          <w:rFonts w:ascii="Times New Roman;serif" w:hAnsi="Times New Roman;serif"/>
          <w:b w:val="false"/>
          <w:color w:val="000000"/>
          <w:sz w:val="20"/>
          <w:shd w:fill="FFFFFF" w:val="clear"/>
        </w:rPr>
        <w:t xml:space="preserve">and adeno-associated virus (“AAV”) delivery via </w:t>
      </w:r>
      <w:r>
        <w:rPr>
          <w:rFonts w:ascii="Times New Roman;serif" w:hAnsi="Times New Roman;serif"/>
          <w:b w:val="false"/>
          <w:color w:val="000000"/>
          <w:sz w:val="20"/>
        </w:rPr>
        <w:t xml:space="preserve">intracerebroventricular (“ICV”) administration, and to deliver the full-length </w:t>
      </w:r>
      <w:r>
        <w:rPr>
          <w:rFonts w:ascii="Times New Roman;serif" w:hAnsi="Times New Roman;serif"/>
          <w:b w:val="false"/>
          <w:i/>
          <w:color w:val="000000"/>
          <w:sz w:val="20"/>
        </w:rPr>
        <w:t xml:space="preserve">MECP2 </w:t>
      </w:r>
      <w:r>
        <w:rPr>
          <w:rFonts w:ascii="Times New Roman;serif" w:hAnsi="Times New Roman;serif"/>
          <w:b w:val="false"/>
          <w:color w:val="000000"/>
          <w:sz w:val="20"/>
        </w:rPr>
        <w:t>gene which preserves the complete set of endogenous regulatory elements to restore functional MeCP2 protein</w:t>
      </w:r>
      <w:r>
        <w:rPr>
          <w:rFonts w:ascii="Times New Roman;serif" w:hAnsi="Times New Roman;serif"/>
          <w:b w:val="false"/>
          <w:color w:val="000000"/>
          <w:sz w:val="20"/>
          <w:shd w:fill="FFFFFF" w:val="clear"/>
        </w:rPr>
        <w:t>. W</w:t>
      </w:r>
      <w:r>
        <w:rPr>
          <w:rFonts w:ascii="Times New Roman;serif" w:hAnsi="Times New Roman;serif"/>
          <w:b w:val="false"/>
          <w:color w:val="000000"/>
          <w:sz w:val="20"/>
        </w:rPr>
        <w:t>e believe ICV delivery is the most suitable route of administration to achieve optimal biodistribution in key regions of the brain and other parts of the nervous system that underlie Rett syndrome pathophysiology. We have completed dosing of 25 participants in our ongoing registrational trial of NGN-401, Embolden</w:t>
      </w:r>
      <w:r>
        <w:rPr>
          <w:rFonts w:ascii="Times New Roman;serif" w:hAnsi="Times New Roman;serif"/>
          <w:b w:val="false"/>
          <w:color w:val="000000"/>
          <w:sz w:val="13"/>
        </w:rPr>
        <w:t>TM</w:t>
      </w:r>
      <w:r>
        <w:rPr>
          <w:rFonts w:ascii="Times New Roman;serif" w:hAnsi="Times New Roman;serif"/>
          <w:b w:val="false"/>
          <w:color w:val="000000"/>
          <w:sz w:val="20"/>
        </w:rPr>
        <w:t xml:space="preserve">, a single-arm, open-label, baseline-controlled trial evaluating the 1E15 vg dose of NGN-401 gene therapy in females with Rett syndrome. The Embolden trial is designed to evaluate NGN-401 in females ages three and above with potential to support a broad label in a single study and enable an efficient path to market. Top-line results are expected in the second half of 2027. </w:t>
      </w:r>
    </w:p>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73685"/>
                <wp:effectExtent l="0" t="0" r="0" b="0"/>
                <wp:wrapNone/>
                <wp:docPr id="25" name="Frame2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completed dosing in the Phase 1/2 open-label, multi-center clinical trial evaluating NGN-401 for the treatment of female patients with classic Rett syndrome in the second quarter of 2025. The trial is assessing the safety, tolerability, and efficacy of NGN-401 at a dose of 1E15 vg in eight participants in an ages 4-10 years cohort and two participants in an ages 11 years and older cohort.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2026, we announced positive long-term clinical data from the Phase 1/2 trial with a data cutoff date of June 16, 2026. Across the 10 participants receiving the 1E15 vg dose, 100% improved in Clinical Global Impression–Improvement Scale (“CGI-I”) score and gained one or more developmental milestone, consistent with the composite endpoint used to evaluate efficacy in the Embolden registrational trial. Forty-seven total developmental milestones were gained, averaging 4.7 milestones per participant. Participants gained milestones in a progressive, developmentally ordered, stepwise sequence, suggesting a restart of developmental progression. Clinical improvements emerged rapidly, with a median time to first improvement of two months post-treatment. Milestone gains deepened over time, increasing by 95% from 6 to 12 months and by 147% from 6 to ≥12 months. Seven of 10 participants gained ≥2 developmental milestones and demonstrated improvements across ≥2 core Rett syndrome domains, including both pediatric and adolescent/adult participants. Improvement continued through 30 months post-dose, with no plateau observed and no milestones lost.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Participants also experienced clinically meaningful improvements across additional validated Rett syndrome scales, including the Rett Syndrome Gross Motor Scale (RSGMS) and Rett Syndrome Hand Function Scale (RSHFS) (p&lt;0.001).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Phase 1/2 trial, all treatment-related adverse events have been mild (Grade 1) or moderate (Grade 2) in severity, and the majority are known potential risks of AAV and have resolved or are resolving, as of the data cutoff date of June 16, 2026.</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NGN-401 at the 1E15 vg dose continues to be generally well-tolerated in the Phase 1/2 trial and Embolden, with no cases of hemophagocytic lymphohistiocytosis (“HLH”) in any participant at this dose, as of August 10, 2026.</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Phase 1/2 trial previously included a cohort evaluating a 3E15 vg dose of NGN-401. In November 2024, the third participant receiving the 3E15 vg dose died following complications from a rare hyperinflammatory syndrome associated with systemic exposure to high doses of AAV, and we discontinued use of that dose. Hyperinflammatory syndromes can include HLH and multisystem inflammatory syndrome.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on research we conducted in 2025 related to hyperinflammatory syndromes and AAV gene therapy, HLH has only been reported following doses of AAV that are generally in the 1E14 vg/kg range or higher. The 1E15 vg dose used in the Phase 1/2 trial and in the Embolden registrational trial translates into the E13 vg/kg range, and we are not aware of any case of HLH ever being reported at this dose. HLH is an acute inflammatory reaction that, if it were to occur, would be expected to happen within days after dosing. Out of an abundance of caution, we incorporated enhanced monitoring into our Phase 1/2 and Embolden protocols for HLH markers, including ferritin, and a treatment algorithm that, when administered early, has been used successfully to treat cases of HLH both in other AAV gene therapies and other known causes of HLH.</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2025, we first announced written agreement from the FDA on key elements of the NGN-401 Embolden registrational trial design, and we confirmed these elements and the trial design in September 2025. The primary endpoint is a responder-based composite endpoint that will assess an improvement in CGI-I with Rett syndrome anchors and the gain of a developmental milestone, compared to the participant’s own baseline. Responders are defined as participants who attain a CGI-I score less than or equal to three (“minimally improved”) and gain any one developmental milestone from a list of 28, as captured through standardized video recordings and independently verified by blinded central raters at the 12-month endpoint. The primary analysis to support the planned BLA is expected to occur after the first 24 participants have completed 12 months of follow-up. A response rate of 33% is the minimum threshold for success to reject the null hypothesis in the Embolden trial. We expect to report top-line data in the second half of 2027, and therefore we do not plan to share data updates from the trial before that time.</w:t>
      </w:r>
    </w:p>
    <w:p>
      <w:pPr>
        <w:pStyle w:val="TextBody"/>
        <w:bidi w:val="0"/>
        <w:spacing w:lineRule="auto" w:line="288" w:before="200" w:after="283"/>
        <w:ind w:left="0" w:right="0" w:firstLine="360"/>
        <w:jc w:val="both"/>
        <w:rPr/>
      </w:pPr>
      <w:r>
        <w:rPr>
          <w:rFonts w:ascii="Times New Roman;serif" w:hAnsi="Times New Roman;serif"/>
          <w:b w:val="false"/>
          <w:color w:val="000000"/>
          <w:sz w:val="20"/>
        </w:rPr>
        <w:t>Clinical grade NGN-401 manufactured at our f</w:t>
      </w:r>
      <w:r>
        <w:rPr>
          <w:rFonts w:ascii="Times New Roman;serif" w:hAnsi="Times New Roman;serif"/>
          <w:b w:val="false"/>
          <w:color w:val="000000"/>
          <w:sz w:val="20"/>
          <w:shd w:fill="FFFFFF" w:val="clear"/>
        </w:rPr>
        <w:t>ully operational current good manufacturing practices (“cGMP”) facility in Houston, Texas</w:t>
      </w:r>
      <w:r>
        <w:rPr>
          <w:color w:val="000000"/>
        </w:rPr>
        <w:t xml:space="preserve"> </w:t>
      </w:r>
      <w:r>
        <w:rPr>
          <w:rFonts w:ascii="Times New Roman;serif" w:hAnsi="Times New Roman;serif"/>
          <w:b w:val="false"/>
          <w:color w:val="000000"/>
          <w:sz w:val="20"/>
        </w:rPr>
        <w:t xml:space="preserve">was used for dosing in the Phase 1/2 clinical trial and the Embolden trial. </w:t>
      </w:r>
      <w:r>
        <w:rPr>
          <w:rFonts w:ascii="Times New Roman;serif" w:hAnsi="Times New Roman;serif"/>
          <w:b w:val="false"/>
          <w:color w:val="000000"/>
          <w:sz w:val="20"/>
          <w:shd w:fill="FFFFFF" w:val="clear"/>
        </w:rPr>
        <w:t>We believe that our in-house manufacturing capabilities better enable control of product quality and development timelines, strategic pipeline and financial flexibility, and clinical-to-commercial continuity.</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previously reached alignment with the FDA on our potency assay strategy and chemistry, manufacturing and controls (“CMC”) planning for the program. We initiated our Process Performance Qualification (“PPQ”) campaign in July 2026 and confirmed our commercial manufacturing scale is the same as our current clinical manufacturing scale, removing the need for comparability studies. We expect to complete the PPQ runs by the end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73685"/>
                <wp:effectExtent l="0" t="0" r="0" b="0"/>
                <wp:wrapNone/>
                <wp:docPr id="26" name="Frame2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2026, we announced that NGN-401 received Breakthrough Therapy designation based on the FDA’s review of interim efficacy and safety data from the Phase 1/2 trial as of the data cutoff date of October 30, 2025, including patient-level data and supporting video documentation. Breakthrough Therapy designation is intended to expedite the development and review of medicines for the treatment of serious conditions which have shown preliminary clinical evidence indicating the potential for substantial improvement over available therapies on a clinically significant endpoint. The benefits of Breakthrough Therapy designation include eligibility for Priority Review, rolling submission of sections of the BLA and the FDA’s organizational commitment to help determine an efficient route to approval.</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2025, we announced that NGN-401 received Priority Medicines (“PRIME”) designation by the European Medicines Agency (“EMA”). Medicines are eligible for PRIME if they demonstrate the potential to address an unmet medical need by showing a meaningful improvement of clinical outcomes.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August 2024, we announced that NGN-401 received Regenerative Medicine Advanced Therapy (“RMAT”) designation from the FDA. RMAT designation is granted for regenerative medicines intended to treat, modify, reverse, or cure a serious or life-threatening disease or condition, and with preliminary clinical evidence that indicates that the drug has the potential to address unmet medical needs. Benefits of the RMAT designation program include early and frequent communications with FDA senior managers, intensive guidance on efficient drug development and eligibility for an Accelerated Approval pathway and Priority Review.</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2024, we announced that NGN-401 was one of four sponsors selected by the Center for Biologics Evaluation and Research at the FDA to participate in the FDA’s Support for clinical Trials Advancing Rare disease Therapeutics (“START”) pilot program based on potential for clinical benefits and clinical development program readiness. As part of the START program, we have opportunities for enhanced communications with the FDA, with the aim to further accelerate the pace of NGN-401’s development. These opportunities are designed to provide frequent advice and regular ad-hoc conversations to address product-specific development issues, including, but not limited to, clinical study design, choice of control group and fine-tuning the choice of patient population.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NGN-401 has also received Orphan Drug designation, Fast Track designation and Rare Pediatric Disease designation from the FDA. NGN-401 also received Orphan designation and Advanced Therapy Medicinal Product designation from the European Medicines Agency (EMA).</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EXACT platform has broad applicability in complex neurological diseases not otherwise easily addressable by conventional gene therapy. In addition to NGN</w:t>
        <w:noBreakHyphen/>
        <w:t>401, we are advancing early</w:t>
        <w:noBreakHyphen/>
        <w:t>stage discovery programs leveraging our EXACT platform for other potential indications. These programs are in the discovery stage, and we have not yet selected a clinical development candidate.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pursued a gene therapy program for the treatment of CLN5 Batten disease. We completed enrollment in a Phase 1/2 clinical trial of NGN-101, and in November 2024, we announced that we do not expect to advance the program at this time. Given the rarity of the disease, continued investment in the program was predicated on alignment with the FDA on a streamlined registrational pathway. To support this objective, we submitted an RMAT application, which was denied. We are currently evaluating options for the program.</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Consistent with our precision drug delivery approach, we believe in utilizing the most optimal route of administration for our genetic medicines that best targets the underlying pathophysiology and biology of the disease to increase the probability of technical and regulatory success. The pathobiology of Rett syndrome involves structures across the brain and other areas of the nervous system. Therefore, it was critical to us to evaluate the optimal route of administration to achieve broad adeno-associated virus serotype 9 (“AAV9”) distribution to key regions relevant for disease. In October 2025, we presented new preclinical data from non-human primates (“NHPs”) demonstrating that ICV delivery of NGN-401 achieves superior AAV biodistribution across brain regions relevant to Rett syndrome, compared to intrathecal lumbar (“IT-L”) delivery. </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The head-to-head NHP study compared ICV and IT-L administration of NGN-401 at a dose that approximates the human dose being evaluated in the NGN-401 Phase 1/2 and Embolden clinical trials (1E15 vg) alongside a dose approximately four times higher than the clinically relevant dose administered via IT-L. ICV administration of NGN-401 showed greater expression of the full-length therapeutic </w:t>
      </w:r>
      <w:r>
        <w:rPr>
          <w:rFonts w:ascii="Times New Roman;serif" w:hAnsi="Times New Roman;serif"/>
          <w:b w:val="false"/>
          <w:i/>
          <w:color w:val="000000"/>
          <w:sz w:val="20"/>
        </w:rPr>
        <w:t>MECP2</w:t>
      </w:r>
      <w:r>
        <w:rPr>
          <w:color w:val="000000"/>
        </w:rPr>
        <w:t xml:space="preserve"> </w:t>
      </w:r>
      <w:r>
        <w:rPr>
          <w:rFonts w:ascii="Times New Roman;serif" w:hAnsi="Times New Roman;serif"/>
          <w:b w:val="false"/>
          <w:color w:val="000000"/>
          <w:sz w:val="20"/>
        </w:rPr>
        <w:t xml:space="preserve">transgene mRNA in key brain regions underlying Rett syndrome pathophysiology when compared to the same IT-L administered dose. Similar levels of transgene RNA expression were observed in the lumbar spinal cord between the two delivery methods. Higher transgene RNA expression in key areas of the brain was also observed when ICV was compared to the approximately four times higher dose IT-L cohort. Comparable peripheral exposure of vector genome biodistribution was observed in peripheral organs, including the liver, between equivalent ICV and IT-L doses, consistent with data from intra-CSF administered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73685"/>
                <wp:effectExtent l="0" t="0" r="0" b="0"/>
                <wp:wrapNone/>
                <wp:docPr id="27" name="Frame2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findings are consistent with preclinical data generated by us previously using a different transgene and lower dose as well as other independent laboratories, reinforcing a growing body of evidence that supports ICV delivery for achieving greater expression in the brain.</w:t>
      </w:r>
    </w:p>
    <w:p>
      <w:pPr>
        <w:pStyle w:val="TextBody"/>
        <w:bidi w:val="0"/>
        <w:spacing w:before="200" w:after="283"/>
        <w:ind w:left="0" w:right="0" w:firstLine="360"/>
        <w:jc w:val="both"/>
        <w:rPr/>
      </w:pPr>
      <w:r>
        <w:rPr/>
        <w:drawing>
          <wp:inline distT="0" distB="0" distL="0" distR="0">
            <wp:extent cx="6057900" cy="2943225"/>
            <wp:effectExtent l="0" t="0" r="0" b="0"/>
            <wp:docPr id="2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 descr=""/>
                    <pic:cNvPicPr>
                      <a:picLocks noChangeAspect="1" noChangeArrowheads="1"/>
                    </pic:cNvPicPr>
                  </pic:nvPicPr>
                  <pic:blipFill>
                    <a:blip r:embed="rId2"/>
                    <a:stretch>
                      <a:fillRect/>
                    </a:stretch>
                  </pic:blipFill>
                  <pic:spPr bwMode="auto">
                    <a:xfrm>
                      <a:off x="0" y="0"/>
                      <a:ext cx="6057900" cy="2943225"/>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Background</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were founded in 2018, and have devoted substantially all of our resources to conducting research and development activities and undertaking preclinical studies, establishing our manufacturing facility, conducting clinical trials and the manufacturing of product used in our clinical trials and preclinical studies, business planning, developing and maintaining our intellectual property portfolio, hiring personnel, raising capital, and providing general and administrative support for these activities.</w:t>
      </w:r>
    </w:p>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 xml:space="preserve">Since our inception, we have funded our operations primarily with outside capital (e.g., proceeds from the sale of preferred stock, common stock and pre-funded warrants) and have raised aggregate net proceeds of approximately </w:t>
      </w:r>
      <w:r>
        <w:rPr>
          <w:rFonts w:ascii="Times New Roman;serif" w:hAnsi="Times New Roman;serif"/>
          <w:b w:val="false"/>
          <w:color w:val="000000"/>
          <w:sz w:val="20"/>
        </w:rPr>
        <w:t>$692.8 million, including net proceeds of approximately $134.8 million from the July 2, 2026 public offering. See “Liquidity and Capital Resources” for additional information</w:t>
      </w:r>
      <w:r>
        <w:rPr>
          <w:rFonts w:ascii="Times New Roman;serif" w:hAnsi="Times New Roman;serif"/>
          <w:b w:val="false"/>
          <w:color w:val="000000"/>
          <w:sz w:val="20"/>
          <w:shd w:fill="FFFFFF" w:val="clear"/>
        </w:rPr>
        <w:t xml:space="preserve">. However, we have incurred significant recurring losses, including a net loss of </w:t>
      </w:r>
      <w:r>
        <w:rPr>
          <w:rFonts w:ascii="Times New Roman;serif" w:hAnsi="Times New Roman;serif"/>
          <w:b w:val="false"/>
          <w:color w:val="000000"/>
          <w:sz w:val="20"/>
        </w:rPr>
        <w:t>$65.4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$44.7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respectively. In addition,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we had an accumulated deficit of </w:t>
      </w:r>
      <w:r>
        <w:rPr>
          <w:rFonts w:ascii="Times New Roman;serif" w:hAnsi="Times New Roman;serif"/>
          <w:b w:val="false"/>
          <w:color w:val="000000"/>
          <w:sz w:val="20"/>
        </w:rPr>
        <w:t>$418.1 million</w:t>
      </w:r>
      <w:r>
        <w:rPr>
          <w:color w:val="000000"/>
          <w:shd w:fill="FFFFFF" w:val="clear"/>
        </w:rPr>
        <w:t xml:space="preserve"> </w:t>
      </w:r>
      <w:r>
        <w:rPr>
          <w:rFonts w:ascii="Times New Roman;serif" w:hAnsi="Times New Roman;serif"/>
          <w:b w:val="false"/>
          <w:color w:val="000000"/>
          <w:sz w:val="20"/>
          <w:shd w:fill="FFFFFF" w:val="clear"/>
        </w:rPr>
        <w:t xml:space="preserve">and cash, cash equivalents and short-term investments totaling </w:t>
      </w:r>
      <w:r>
        <w:rPr>
          <w:rFonts w:ascii="Times New Roman;serif" w:hAnsi="Times New Roman;serif"/>
          <w:b w:val="false"/>
          <w:color w:val="000000"/>
          <w:sz w:val="20"/>
        </w:rPr>
        <w:t>$225.4 million</w:t>
      </w:r>
      <w:r>
        <w:rPr>
          <w:rFonts w:ascii="Times New Roman;serif" w:hAnsi="Times New Roman;serif"/>
          <w:b w:val="false"/>
          <w:color w:val="000000"/>
          <w:sz w:val="20"/>
          <w:shd w:fill="FFFFFF" w:val="clear"/>
        </w:rPr>
        <w:t>. Following the completion of our July 2, 2026 public offering, we believe our existing cash, cash equivalents and investments will be sufficient to fund our operations into the first quarter of 2029. We may seek additional capital in the future to advance our pipeline, support our operations or pursue strategic opportunities. There can be no assurance that we will be successful in raising additional capital or that such capital, if available, will be on terms that are acceptable to us. If we are unable to raise sufficient additional capital, we may be compelled to consider actions such as reducing the scope of our operations and planned capital expenditures or selling certain assets, including intellectual property assets.</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net losses may fluctuate significantly from quarter-to-quarter and year-to-year, depending on a variety of factors, including the timing, scope and results of our research and development activities. Management expects that our expenses and capital requirements will increase substantially in connection with our ongoing activities as we:</w:t>
      </w:r>
    </w:p>
    <w:p>
      <w:pPr>
        <w:pStyle w:val="TextBody"/>
        <w:bidi w:val="0"/>
        <w:spacing w:lineRule="auto" w:line="288" w:before="120" w:after="283"/>
        <w:ind w:left="0" w:right="0" w:hanging="540"/>
        <w:jc w:val="both"/>
        <w:rPr/>
      </w:pPr>
      <w:r>
        <w:rPr>
          <w:color w:val="000000"/>
          <w:shd w:fill="FFFFFF" w:val="clear"/>
        </w:rPr>
        <w:t>•</w:t>
      </w:r>
      <w:r>
        <w:rPr>
          <w:rFonts w:ascii="Times New Roman;serif" w:hAnsi="Times New Roman;serif"/>
          <w:b w:val="false"/>
          <w:color w:val="000000"/>
          <w:sz w:val="20"/>
        </w:rPr>
        <w:t>advance the NGN-401 program through clinical development and, if successful, seek regulatory approvals;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invest in research programs to strengthen our capabilities, including resourcing and evaluating additional technologies that may augment our pipeline of product candidates;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advance discovery programs from preclinical development into and through clinical development;</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seek regulatory approvals for any other product candidates that successfully complete clinical trials;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establish sales, marketing and distribution infrastructure to commercialize any approved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73685"/>
                <wp:effectExtent l="0" t="0" r="0" b="0"/>
                <wp:wrapNone/>
                <wp:docPr id="29" name="Frame2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establish a commercialization infrastructure and scale up internal and external manufacturing and distribution capabilities to commercialize any product candidates for which we may obtain regulatory approval;</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expand clinical, scientific, management and administrative teams;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maintain, expand, protect and enforce our intellectual property portfolio, including patents, trade secrets and know-how;</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implement operational, financial and management systems;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incur legal, accounting and other expenses related to operating as a public company.</w:t>
      </w:r>
    </w:p>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We do not have any products approved for commercial sale and have not generated any commercial revenue from product sales. Our ability to generate product revenue sufficient to achieve and maintain profitability will depend upon the successful development and eventual commercialization of one or more of our product candidates, which we expect, if it ever occurs, will take many years. We expect to spend a significant amount in development and marketing costs prior to such time. We will therefore require substantial additional capital to develop our product candidates and support our continuing operations. We may never succeed in achieving regulatory and marketing approval for our product candidates. We may obtain unexpected results from our preclinical and clinical trials. For example, in November 2024 we decided not to move forward with the NGN-101 gene therapy program for CLN5 Batten disease, given the rarity of the disease and the lack of a streamlined registrational pathway with the FDA following denial of our RMAT application for that program</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We may in the future elect to discontinue, delay, or modify additional preclinical and clinical trials of our other product candidates. A change in the outcome of any of these variables with respect to the development of a product candidate could mean a significant change in the costs and timing associated with the development of that product candidate. Accordingly, until such time that we can generate a sufficient amount of revenue from product sales or other sources, if ever, management expects to finance our operations through private or public equity or debt financings, loans or other capital sources, which could include income from collaborations, partnerships or other marketing, distribution, licensing or other strategic arrangements with third parties, or from grants. However, we may be unable to raise additional capital from these sources on favorable terms, or at all, which could have a material adverse effect on our business. Our management cannot provide assurance that we will ever generate positive cash flow from operating activities. See “</w:t>
      </w:r>
      <w:r>
        <w:rPr>
          <w:rFonts w:ascii="Times New Roman;serif" w:hAnsi="Times New Roman;serif"/>
          <w:b w:val="false"/>
          <w:i/>
          <w:color w:val="000000"/>
          <w:sz w:val="20"/>
          <w:shd w:fill="FFFFFF" w:val="clear"/>
        </w:rPr>
        <w:t>Liquidity and Capital Resources”</w:t>
      </w:r>
      <w:r>
        <w:rPr>
          <w:rFonts w:ascii="Times New Roman;serif" w:hAnsi="Times New Roman;serif"/>
          <w:b w:val="false"/>
          <w:color w:val="000000"/>
          <w:sz w:val="20"/>
          <w:shd w:fill="FFFFFF" w:val="clear"/>
        </w:rPr>
        <w:t>.</w:t>
      </w:r>
    </w:p>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In December 2020, we entered into the Master Collaboration Agreement (“MCA”) with the University Court of the University of Edinburgh (the “University of Edinburgh”), which was amended in November 2023 to extend the term of the MCA to December 2026. This collaboration supports our pipeline development activities, and provides us with the option to in-license product candidates arising from research conducted in Dr. Stuart Cobb’s laboratory. Dr. Cobb serves as our Chief Scientific Officer and is also a Professor at the University of Edinburgh. Under the standard policies of the University of Edinburgh, as a professor inventor, he may be entitled to receive in the future a percentage of certain license-related payments made by us to the University. For more information about the MCA, see “</w:t>
      </w:r>
      <w:r>
        <w:rPr>
          <w:rFonts w:ascii="Times New Roman;serif" w:hAnsi="Times New Roman;serif"/>
          <w:b w:val="false"/>
          <w:i/>
          <w:color w:val="000000"/>
          <w:sz w:val="20"/>
          <w:shd w:fill="FFFFFF" w:val="clear"/>
        </w:rPr>
        <w:t>Management’s Discussion &amp; Analysis of Financial Condition and Results of Operations—License and Collaboration Agreements</w:t>
      </w:r>
      <w:r>
        <w:rPr>
          <w:color w:val="000000"/>
          <w:shd w:fill="FFFFFF" w:val="clear"/>
        </w:rPr>
        <w:t>”</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Impact of Global Economic Events</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Uncertainty in the global economy presents significant risks to our business. We are subject to continued risks and uncertainties related to the current macroeconomic environment, including persistent inflation, changing interest rates, changes in foreign currency exchange rates, changes in trade policies, including tariffs or other trade restrictions or the threat of such actions, changes in domestic and global monetary and fiscal policy, the enactment of the BIOSECURE Act in December 2025, which mandates a transition away from “biotechnology companies of concern,” rapid changes in the regulatory and legislative landscape in the United States, geopolitical factors, including the ongoing conflicts between Russia and Ukraine and in the Middle East and significant volatility in commodity prices, including the price of oil, and the responses thereto, the impacts of climate change, and supply chain disruptions. While management is closely monitoring the impact of the current macroeconomic conditions on aspects of our business, including the impacts on our participants in our Phase 1/2 and Embolden clinical trials, employees, suppliers, vendors and business partners, the ultimate extent of the direct and indirect impacts on our business remains highly uncertain and will depend on future developments and factors that continue to evolve. Most of these developments and factors are outside of our control and could exist for an extended period of time. Management will continue to evaluate the nature and extent of the potential impacts to our business, results of operations, liquidity and capital resources. For additional information, see the section entitled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73685"/>
                <wp:effectExtent l="0" t="0" r="0" b="0"/>
                <wp:wrapNone/>
                <wp:docPr id="30" name="Frame2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firstLine="36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Components of Results of Operations</w:t>
      </w:r>
    </w:p>
    <w:p>
      <w:pPr>
        <w:pStyle w:val="TextBody"/>
        <w:bidi w:val="0"/>
        <w:spacing w:lineRule="auto" w:line="288" w:before="20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Operating Expenses</w:t>
      </w:r>
    </w:p>
    <w:p>
      <w:pPr>
        <w:pStyle w:val="TextBody"/>
        <w:bidi w:val="0"/>
        <w:spacing w:lineRule="auto" w:line="288" w:before="120" w:after="283"/>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Research and Development Expenses</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Research and development expenses consist primarily of costs incurred in connection with the discovery and development of our product candidates. We expense research and development costs as incurred,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expenses incurred to conduct the necessary discovery-stage laboratory work, preclinical studies and clinical trials required to obtain regulatory approval;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acquired licenses and intellectual property that are accounted for as asset acquisitions and have no alternative future use;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personnel expenses, including salaries, benefits and stock-based compensation expense for our employees engaged in research and development functions;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costs of funding research performed by third parties, including pursuant to agreements with clinical research organizations (“CROs”) that conduct our clinical trials, as well as investigative sites, consultants and CROs that conduct our preclinical and nonclinical studies;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expenses incurred under agreements with our third-party contract development and manufacturing organizations (“CDMOs”), as well as internal manufacturing scale-up expenses, including the cost of acquiring and manufacturing preclinical study and clinical trial materials;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fees paid to consultants who assist with research and development activities;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expenses related to regulatory activities, including filing fees paid to regulatory agencies;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allocated expenses for facility costs, including rent, utilities, depreciation and maintenance.</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Before a product receives regulatory approval, we record upfront and milestone payments to third parties under licensing arrangements as expense, provided that there is no alternative future use of the rights in other research and development projects.</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Non-refundable prepayments for research and development costs that are paid in advance of performance are capitalized as a prepaid expense and amortized over the service period as the services are provided. Costs for certain development activities, such as outside research programs funded by us, are recognized based on an evaluation of the progress to completion of specific tasks with respect to their actual costs incurred. Payments for these activities are based on the terms of the individual arrangements, which may differ from the pattern of costs incurred, and are reflected in the financial statements as prepaid or accrued research and development expense as applicable.</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track outsourced development costs and other external research and development costs to specific product candidates on a program-by-program basis, including fees paid to CROs, CDMOs and research laboratories in connection with our preclinical development, process development, and clinical development activities. We also incur personnel and other operating expenses for research and development programs, which are presented in aggregate.</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remain significant over the next several years as we continue patient monitoring activities for our ongoing registrational trial, conduct clinical trials for future product candidates, complete process performance qualification (PPQ) activities, and prepare regulatory filings for our product candidates.</w:t>
      </w:r>
    </w:p>
    <w:p>
      <w:pPr>
        <w:pStyle w:val="TextBody"/>
        <w:bidi w:val="0"/>
        <w:spacing w:lineRule="auto" w:line="288" w:before="200" w:after="283"/>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General and Administrative Expenses</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expenses also include corporate facility costs not otherwise included in research and development expense, including rent, utilities, depreciation and maintenance, as well as legal fees related to intellectual property and corporate matters and fees for accounting and consulting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73685"/>
                <wp:effectExtent l="0" t="0" r="0" b="0"/>
                <wp:wrapNone/>
                <wp:docPr id="31" name="Frame3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expect that our general and administrative expense will increase in the future to support our continued research and development activities and potential commercialization efforts. These increases will likely include increased costs related to the hiring of additional personnel and fees to outside consultants, legal support and accountants, among other expenses. If any of our current or future product candidates obtains U.S. regulatory approval, we expect that we would incur significantly increased expenses associated with building a sales and marketing team, as well as an expanded regulatory and compliance function.</w:t>
      </w:r>
    </w:p>
    <w:p>
      <w:pPr>
        <w:pStyle w:val="TextBody"/>
        <w:bidi w:val="0"/>
        <w:spacing w:lineRule="auto" w:line="288" w:before="200" w:after="283"/>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Income</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Interest income consists primarily of interest earned on our cash, cash equivalents and short-term investments. We expect our interest income to fluctuate depending on interest rates and the amount of cash that is invested.</w:t>
      </w:r>
    </w:p>
    <w:p>
      <w:pPr>
        <w:pStyle w:val="TextBody"/>
        <w:bidi w:val="0"/>
        <w:spacing w:lineRule="auto" w:line="288" w:before="200" w:after="283"/>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Income Taxes</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assess our income tax positions and record tax benefits based upon management’s evaluation of the facts, circumstances, and information available at the reporting date. For those tax positions where it is more likely than not that a tax benefit will be sustained, we record the amount of tax benefit with a greater than 50% likelihood of being realized upon ultimate settlement with a taxing authority having full knowledge of all relevant information. For those income tax positions for which it is not more likely than not that a tax benefit will be sustained, no tax benefit is recognized in the financial statements.</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Since inception, we have not recorded any income tax benefits for net operating losses (“NOLs”) or for our research and development tax credits, as we believe, based upon the weight of available evidence, that it is more likely than not that all of our NOLs and tax credits will not be realized. Accordingly, we have established a valuation allowance against such deferred tax assets for all periods since inception.</w:t>
      </w:r>
    </w:p>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we had federal and state NOL carryforwards in the amount of </w:t>
      </w:r>
      <w:r>
        <w:rPr>
          <w:rFonts w:ascii="Times New Roman;serif" w:hAnsi="Times New Roman;serif"/>
          <w:b w:val="false"/>
          <w:color w:val="000000"/>
          <w:sz w:val="20"/>
        </w:rPr>
        <w:t>$372.2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$43.5 million</w:t>
      </w:r>
      <w:r>
        <w:rPr>
          <w:rFonts w:ascii="Times New Roman;serif" w:hAnsi="Times New Roman;serif"/>
          <w:b w:val="false"/>
          <w:color w:val="000000"/>
          <w:sz w:val="20"/>
          <w:shd w:fill="FFFFFF" w:val="clear"/>
        </w:rPr>
        <w:t xml:space="preserve">, respectively, which may be available to offset future taxable income. The state NOL carryforwards will begin to expire in 2029, unless previously utilized. Most federal NOL carryforwards were generated subsequent to January 1, 2018, and therefore are able to be carried forward indefinitely.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we also had federal research tax credit and federal orphan drug tax credit carryforwards of </w:t>
      </w:r>
      <w:r>
        <w:rPr>
          <w:rFonts w:ascii="Times New Roman;serif" w:hAnsi="Times New Roman;serif"/>
          <w:b w:val="false"/>
          <w:color w:val="000000"/>
          <w:sz w:val="20"/>
        </w:rPr>
        <w:t>$8.5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$10.0 million</w:t>
      </w:r>
      <w:r>
        <w:rPr>
          <w:rFonts w:ascii="Times New Roman;serif" w:hAnsi="Times New Roman;serif"/>
          <w:b w:val="false"/>
          <w:color w:val="000000"/>
          <w:sz w:val="20"/>
          <w:shd w:fill="FFFFFF" w:val="clear"/>
        </w:rPr>
        <w:t>, respectively, which may be used to offset future tax liabilities. These tax and orphan drug credit carryforwards begin to expire in 2039 and 2043, respectively, unless previously utilized.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Results of Operations</w:t>
      </w:r>
    </w:p>
    <w:p>
      <w:pPr>
        <w:pStyle w:val="TextBody"/>
        <w:bidi w:val="0"/>
        <w:spacing w:lineRule="auto" w:line="288" w:before="120" w:after="283"/>
        <w:ind w:left="0" w:right="0" w:firstLine="360"/>
        <w:jc w:val="both"/>
        <w:rPr/>
      </w:pPr>
      <w:r>
        <w:rPr>
          <w:rFonts w:ascii="Times New Roman;serif" w:hAnsi="Times New Roman;serif"/>
          <w:b/>
          <w:i/>
          <w:color w:val="000000"/>
          <w:sz w:val="20"/>
          <w:shd w:fill="FFFFFF" w:val="clear"/>
        </w:rPr>
        <w:t xml:space="preserve">Comparison of the </w:t>
      </w:r>
      <w:r>
        <w:rPr>
          <w:rFonts w:ascii="Times New Roman;serif" w:hAnsi="Times New Roman;serif"/>
          <w:b/>
          <w:i/>
          <w:color w:val="000000"/>
          <w:sz w:val="20"/>
        </w:rPr>
        <w:t>Three and Six</w:t>
      </w:r>
      <w:r>
        <w:rPr>
          <w:color w:val="000000"/>
          <w:shd w:fill="FFFFFF" w:val="clear"/>
        </w:rPr>
        <w:t xml:space="preserve"> </w:t>
      </w:r>
      <w:r>
        <w:rPr>
          <w:rFonts w:ascii="Times New Roman;serif" w:hAnsi="Times New Roman;serif"/>
          <w:b/>
          <w:i/>
          <w:color w:val="000000"/>
          <w:sz w:val="20"/>
          <w:shd w:fill="FFFFFF" w:val="clear"/>
        </w:rPr>
        <w:t>Months Ended June 30, 2026 and 2025</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our results of operations for the periods indicated (in thousands):</w:t>
      </w:r>
    </w:p>
    <w:tbl>
      <w:tblPr>
        <w:tblW w:w="10205" w:type="dxa"/>
        <w:jc w:val="left"/>
        <w:tblInd w:w="0" w:type="dxa"/>
        <w:tblLayout w:type="fixed"/>
        <w:tblCellMar>
          <w:top w:w="28" w:type="dxa"/>
          <w:left w:w="28" w:type="dxa"/>
          <w:bottom w:w="28" w:type="dxa"/>
          <w:right w:w="28" w:type="dxa"/>
        </w:tblCellMar>
      </w:tblPr>
      <w:tblGrid>
        <w:gridCol w:w="872"/>
        <w:gridCol w:w="581"/>
        <w:gridCol w:w="584"/>
        <w:gridCol w:w="211"/>
        <w:gridCol w:w="760"/>
        <w:gridCol w:w="109"/>
        <w:gridCol w:w="109"/>
        <w:gridCol w:w="109"/>
        <w:gridCol w:w="109"/>
        <w:gridCol w:w="211"/>
        <w:gridCol w:w="760"/>
        <w:gridCol w:w="109"/>
        <w:gridCol w:w="109"/>
        <w:gridCol w:w="109"/>
        <w:gridCol w:w="109"/>
        <w:gridCol w:w="211"/>
        <w:gridCol w:w="760"/>
        <w:gridCol w:w="109"/>
        <w:gridCol w:w="109"/>
        <w:gridCol w:w="109"/>
        <w:gridCol w:w="109"/>
        <w:gridCol w:w="211"/>
        <w:gridCol w:w="760"/>
        <w:gridCol w:w="109"/>
        <w:gridCol w:w="109"/>
        <w:gridCol w:w="109"/>
        <w:gridCol w:w="109"/>
        <w:gridCol w:w="211"/>
        <w:gridCol w:w="760"/>
        <w:gridCol w:w="109"/>
        <w:gridCol w:w="109"/>
        <w:gridCol w:w="109"/>
        <w:gridCol w:w="109"/>
        <w:gridCol w:w="211"/>
        <w:gridCol w:w="760"/>
        <w:gridCol w:w="162"/>
      </w:tblGrid>
      <w:tr>
        <w:trPr/>
        <w:tc>
          <w:tcPr>
            <w:tcW w:w="87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expenses:</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Research and development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General and administrative expenses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 operating expenses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Loss from operations</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(18,019)</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(expense):</w:t>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income</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expense</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(20,759)</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73685"/>
                <wp:effectExtent l="0" t="0" r="0" b="0"/>
                <wp:wrapNone/>
                <wp:docPr id="32" name="Frame3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our research and development expenses for the periods indicated (in thousands):</w:t>
      </w:r>
    </w:p>
    <w:tbl>
      <w:tblPr>
        <w:tblW w:w="10205" w:type="dxa"/>
        <w:jc w:val="left"/>
        <w:tblInd w:w="0" w:type="dxa"/>
        <w:tblLayout w:type="fixed"/>
        <w:tblCellMar>
          <w:top w:w="28" w:type="dxa"/>
          <w:left w:w="28" w:type="dxa"/>
          <w:bottom w:w="28" w:type="dxa"/>
          <w:right w:w="28" w:type="dxa"/>
        </w:tblCellMar>
      </w:tblPr>
      <w:tblGrid>
        <w:gridCol w:w="1086"/>
        <w:gridCol w:w="656"/>
        <w:gridCol w:w="640"/>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08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Program specific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Rett syndrome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Batten disease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Early Discovery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internal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13,487 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 xml:space="preserve">Research and development expenses were </w:t>
      </w:r>
      <w:r>
        <w:rPr>
          <w:rFonts w:ascii="Times New Roman;serif" w:hAnsi="Times New Roman;serif"/>
          <w:b w:val="false"/>
          <w:color w:val="000000"/>
          <w:sz w:val="20"/>
        </w:rPr>
        <w:t>$25.5 million</w:t>
      </w:r>
      <w:r>
        <w:rPr>
          <w:color w:val="000000"/>
          <w:shd w:fill="FFFFFF" w:val="clear"/>
        </w:rPr>
        <w:t>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June 30, 2026</w:t>
      </w:r>
      <w:r>
        <w:rPr>
          <w:rFonts w:ascii="Times New Roman;serif" w:hAnsi="Times New Roman;serif"/>
          <w:b w:val="false"/>
          <w:color w:val="000000"/>
          <w:sz w:val="20"/>
          <w:shd w:fill="FFFFFF" w:val="clear"/>
        </w:rPr>
        <w:t xml:space="preserve">, as compared to </w:t>
      </w:r>
      <w:r>
        <w:rPr>
          <w:rFonts w:ascii="Times New Roman;serif" w:hAnsi="Times New Roman;serif"/>
          <w:b w:val="false"/>
          <w:color w:val="000000"/>
          <w:sz w:val="20"/>
        </w:rPr>
        <w:t>$19.4 million</w:t>
      </w:r>
      <w:r>
        <w:rPr>
          <w:color w:val="000000"/>
          <w:shd w:fill="FFFFFF" w:val="clear"/>
        </w:rPr>
        <w:t>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June 30, 2025</w:t>
      </w:r>
      <w:r>
        <w:rPr>
          <w:rFonts w:ascii="Times New Roman;serif" w:hAnsi="Times New Roman;serif"/>
          <w:b w:val="false"/>
          <w:color w:val="000000"/>
          <w:sz w:val="20"/>
          <w:shd w:fill="FFFFFF" w:val="clear"/>
        </w:rPr>
        <w: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Expenses related to the Rett syndrome program increased primarily due to a $2.9 million increase in clinical trial costs related to the ongoing registrational clinical trial for NGN-401 and a $0.7 million increase in CMC costs primarily related to CDMO support and PPQ runs for NGN-401, partially offset by a $0.6 million decrease in preclinical costs. The decrease in expenses related to the Batten disease program was primarily driven by a $0.3 million decrease in clinical trial costs for the Phase 1/2 clinical trial of NGN-101, due to the de-prioritization of the program.</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unallocated internal expenses was primarily driven by higher salaries, benefits, and stock-based compensation costs due to an increase in research and development headcount, as well as an increase in laboratory consumables expense related to CMC.</w:t>
      </w:r>
    </w:p>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 xml:space="preserve">Research and development expenses were </w:t>
      </w:r>
      <w:r>
        <w:rPr>
          <w:rFonts w:ascii="Times New Roman;serif" w:hAnsi="Times New Roman;serif"/>
          <w:b w:val="false"/>
          <w:color w:val="000000"/>
          <w:sz w:val="20"/>
        </w:rPr>
        <w:t xml:space="preserve">$50.6 million for the six months ended June 30, 2026, as compared to $37.1 million for the six months ended June 30, 2025.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Expenses related to the Rett syndrome program increased primarily due to an $8.0 million increase in clinical trial costs related to the ongoing registrational clinical trial for NGN-401 and a $3.1 million increase in CMC costs primarily related to CDMO support and PPQ manufacturing runs for NGN-401, partially offset by a $1.6 million decrease in preclinical costs. The decrease in expenses related to the Batten disease program was primarily driven by a $1.0 million decrease in clinical trial costs for the Phase 1/2 clinical trial of NGN-101, due to the de-prioritization of the program. The decrease in expenses related to the Early Discovery programs was driven by a $0.7 million decrease in preclinical development costs.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unallocated internal expenses was primarily driven by higher salaries, benefits, and stock-based compensation costs due to an increase in research and development headcount, as well as an increase in laboratory consumables expense related to CMC.</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that our research and development expenses will continue to increase for the foreseeable future as we advance our programs and product candidates into and through clinical development and, as we continue to develop additional product candidates, build our manufacturing capabilities and develop our EXACT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73685"/>
                <wp:effectExtent l="0" t="0" r="0" b="0"/>
                <wp:wrapNone/>
                <wp:docPr id="33" name="Frame3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General and Administrative Expenses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general and administrative expenses for the periods indicated (in thousands):</w:t>
      </w:r>
    </w:p>
    <w:tbl>
      <w:tblPr>
        <w:tblW w:w="10205" w:type="dxa"/>
        <w:jc w:val="left"/>
        <w:tblInd w:w="0" w:type="dxa"/>
        <w:tblLayout w:type="fixed"/>
        <w:tblCellMar>
          <w:top w:w="28" w:type="dxa"/>
          <w:left w:w="28" w:type="dxa"/>
          <w:bottom w:w="28" w:type="dxa"/>
          <w:right w:w="28" w:type="dxa"/>
        </w:tblCellMar>
      </w:tblPr>
      <w:tblGrid>
        <w:gridCol w:w="1023"/>
        <w:gridCol w:w="784"/>
        <w:gridCol w:w="786"/>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5"/>
      </w:tblGrid>
      <w:tr>
        <w:trPr/>
        <w:tc>
          <w:tcPr>
            <w:tcW w:w="102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93"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567"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specific expenses: </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and consultant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Office-related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 xml:space="preserve">General and administrative expenses were $11.2 million for the </w:t>
      </w:r>
      <w:r>
        <w:rPr>
          <w:rFonts w:ascii="Times New Roman;serif" w:hAnsi="Times New Roman;serif"/>
          <w:b w:val="false"/>
          <w:color w:val="000000"/>
          <w:sz w:val="20"/>
        </w:rPr>
        <w:t>three months ended June 30, 2026</w:t>
      </w:r>
      <w:r>
        <w:rPr>
          <w:rFonts w:ascii="Times New Roman;serif" w:hAnsi="Times New Roman;serif"/>
          <w:b w:val="false"/>
          <w:color w:val="000000"/>
          <w:sz w:val="20"/>
          <w:shd w:fill="FFFFFF" w:val="clear"/>
        </w:rPr>
        <w:t xml:space="preserve">, as compared to </w:t>
      </w:r>
      <w:r>
        <w:rPr>
          <w:rFonts w:ascii="Times New Roman;serif" w:hAnsi="Times New Roman;serif"/>
          <w:b w:val="false"/>
          <w:color w:val="000000"/>
          <w:sz w:val="20"/>
        </w:rPr>
        <w:t>$6.7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three months ended June 30, 2025. The increase was primarily attributable to: (i) a </w:t>
      </w:r>
      <w:r>
        <w:rPr>
          <w:rFonts w:ascii="Times New Roman;serif" w:hAnsi="Times New Roman;serif"/>
          <w:b w:val="false"/>
          <w:color w:val="000000"/>
          <w:sz w:val="20"/>
          <w:shd w:fill="FFFFFF" w:val="clear"/>
        </w:rPr>
        <w:t>$3.3 million</w:t>
      </w:r>
      <w:r>
        <w:rPr>
          <w:color w:val="000000"/>
        </w:rPr>
        <w:t xml:space="preserve"> </w:t>
      </w:r>
      <w:r>
        <w:rPr>
          <w:rFonts w:ascii="Times New Roman;serif" w:hAnsi="Times New Roman;serif"/>
          <w:b w:val="false"/>
          <w:color w:val="000000"/>
          <w:sz w:val="20"/>
        </w:rPr>
        <w:t xml:space="preserve">increase in stock-based compensation expense, driven by an increase in headcount as well as by an increase of approximately $2.7 million related to PSU expense as the second underlying performance condition was deemed probable of achievement and currently considered probable to vest, (ii) a </w:t>
      </w:r>
      <w:r>
        <w:rPr>
          <w:rFonts w:ascii="Times New Roman;serif" w:hAnsi="Times New Roman;serif"/>
          <w:b w:val="false"/>
          <w:color w:val="000000"/>
          <w:sz w:val="20"/>
          <w:shd w:fill="FFFFFF" w:val="clear"/>
        </w:rPr>
        <w:t>$0.6 million</w:t>
      </w:r>
      <w:r>
        <w:rPr>
          <w:color w:val="000000"/>
        </w:rPr>
        <w:t xml:space="preserve"> </w:t>
      </w:r>
      <w:r>
        <w:rPr>
          <w:rFonts w:ascii="Times New Roman;serif" w:hAnsi="Times New Roman;serif"/>
          <w:b w:val="false"/>
          <w:color w:val="000000"/>
          <w:sz w:val="20"/>
        </w:rPr>
        <w:t xml:space="preserve">increase in personnel-related expenses, reflecting higher headcount to support business operations, (iii) a </w:t>
      </w:r>
      <w:r>
        <w:rPr>
          <w:rFonts w:ascii="Times New Roman;serif" w:hAnsi="Times New Roman;serif"/>
          <w:b w:val="false"/>
          <w:color w:val="000000"/>
          <w:sz w:val="20"/>
          <w:shd w:fill="FFFFFF" w:val="clear"/>
        </w:rPr>
        <w:t>$0.4 million</w:t>
      </w:r>
      <w:r>
        <w:rPr>
          <w:color w:val="000000"/>
        </w:rPr>
        <w:t xml:space="preserve"> </w:t>
      </w:r>
      <w:r>
        <w:rPr>
          <w:rFonts w:ascii="Times New Roman;serif" w:hAnsi="Times New Roman;serif"/>
          <w:b w:val="false"/>
          <w:color w:val="000000"/>
          <w:sz w:val="20"/>
        </w:rPr>
        <w:t xml:space="preserve">increase in other expenses, primarily related to higher corporate costs and pre-commercial activities, and (iv) a </w:t>
      </w:r>
      <w:r>
        <w:rPr>
          <w:rFonts w:ascii="Times New Roman;serif" w:hAnsi="Times New Roman;serif"/>
          <w:b w:val="false"/>
          <w:color w:val="000000"/>
          <w:sz w:val="20"/>
          <w:shd w:fill="FFFFFF" w:val="clear"/>
        </w:rPr>
        <w:t>$0.3 million</w:t>
      </w:r>
      <w:r>
        <w:rPr>
          <w:color w:val="000000"/>
        </w:rPr>
        <w:t xml:space="preserve"> </w:t>
      </w:r>
      <w:r>
        <w:rPr>
          <w:rFonts w:ascii="Times New Roman;serif" w:hAnsi="Times New Roman;serif"/>
          <w:b w:val="false"/>
          <w:color w:val="000000"/>
          <w:sz w:val="20"/>
        </w:rPr>
        <w:t xml:space="preserve">increase in professional and consultant fees. The increase was partially offset by a </w:t>
      </w:r>
      <w:r>
        <w:rPr>
          <w:rFonts w:ascii="Times New Roman;serif" w:hAnsi="Times New Roman;serif"/>
          <w:b w:val="false"/>
          <w:color w:val="000000"/>
          <w:sz w:val="20"/>
          <w:shd w:fill="FFFFFF" w:val="clear"/>
        </w:rPr>
        <w:t>$0.1 million</w:t>
      </w:r>
      <w:r>
        <w:rPr>
          <w:color w:val="000000"/>
        </w:rPr>
        <w:t xml:space="preserve"> </w:t>
      </w:r>
      <w:r>
        <w:rPr>
          <w:rFonts w:ascii="Times New Roman;serif" w:hAnsi="Times New Roman;serif"/>
          <w:b w:val="false"/>
          <w:color w:val="000000"/>
          <w:sz w:val="20"/>
        </w:rPr>
        <w:t xml:space="preserve">decrease in office-related expense. </w:t>
      </w:r>
    </w:p>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General and administrative expenses were $19.4 million fo</w:t>
      </w:r>
      <w:r>
        <w:rPr>
          <w:rFonts w:ascii="Times New Roman;serif" w:hAnsi="Times New Roman;serif"/>
          <w:b w:val="false"/>
          <w:color w:val="000000"/>
          <w:sz w:val="20"/>
        </w:rPr>
        <w:t xml:space="preserve">r the six months ended June 30, 2026, as compared to </w:t>
      </w:r>
      <w:r>
        <w:rPr>
          <w:rFonts w:ascii="Times New Roman;serif" w:hAnsi="Times New Roman;serif"/>
          <w:b w:val="false"/>
          <w:color w:val="000000"/>
          <w:sz w:val="20"/>
          <w:shd w:fill="FFFFFF" w:val="clear"/>
        </w:rPr>
        <w:t xml:space="preserve">$14.9 million </w:t>
      </w:r>
      <w:r>
        <w:rPr>
          <w:rFonts w:ascii="Times New Roman;serif" w:hAnsi="Times New Roman;serif"/>
          <w:b w:val="false"/>
          <w:color w:val="000000"/>
          <w:sz w:val="20"/>
        </w:rPr>
        <w:t xml:space="preserve">for the six months ended June 30, 2025. The increase was primarily attributable to: (i) a </w:t>
      </w:r>
      <w:r>
        <w:rPr>
          <w:rFonts w:ascii="Times New Roman;serif" w:hAnsi="Times New Roman;serif"/>
          <w:b w:val="false"/>
          <w:color w:val="000000"/>
          <w:sz w:val="20"/>
          <w:shd w:fill="FFFFFF" w:val="clear"/>
        </w:rPr>
        <w:t>$2.7 million</w:t>
      </w:r>
      <w:r>
        <w:rPr>
          <w:color w:val="000000"/>
        </w:rPr>
        <w:t xml:space="preserve"> </w:t>
      </w:r>
      <w:r>
        <w:rPr>
          <w:rFonts w:ascii="Times New Roman;serif" w:hAnsi="Times New Roman;serif"/>
          <w:b w:val="false"/>
          <w:color w:val="000000"/>
          <w:sz w:val="20"/>
        </w:rPr>
        <w:t xml:space="preserve">increase in stock-based compensation expense, driven by an increase in headcount as well as by an increase of approximately $1.8 million related to PSU expense as the second underlying performance condition was deemed probable of achievement and currently considered probable to vest, (ii) a </w:t>
      </w:r>
      <w:r>
        <w:rPr>
          <w:rFonts w:ascii="Times New Roman;serif" w:hAnsi="Times New Roman;serif"/>
          <w:b w:val="false"/>
          <w:color w:val="000000"/>
          <w:sz w:val="20"/>
          <w:shd w:fill="FFFFFF" w:val="clear"/>
        </w:rPr>
        <w:t>$0.9 million</w:t>
      </w:r>
      <w:r>
        <w:rPr>
          <w:color w:val="000000"/>
        </w:rPr>
        <w:t xml:space="preserve"> </w:t>
      </w:r>
      <w:r>
        <w:rPr>
          <w:rFonts w:ascii="Times New Roman;serif" w:hAnsi="Times New Roman;serif"/>
          <w:b w:val="false"/>
          <w:color w:val="000000"/>
          <w:sz w:val="20"/>
        </w:rPr>
        <w:t xml:space="preserve">increase in other expenses, primarily related to higher corporate costs and pre-commercial activities, (iii) a </w:t>
      </w:r>
      <w:r>
        <w:rPr>
          <w:rFonts w:ascii="Times New Roman;serif" w:hAnsi="Times New Roman;serif"/>
          <w:b w:val="false"/>
          <w:color w:val="000000"/>
          <w:sz w:val="20"/>
          <w:shd w:fill="FFFFFF" w:val="clear"/>
        </w:rPr>
        <w:t>$0.7 million</w:t>
      </w:r>
      <w:r>
        <w:rPr>
          <w:color w:val="000000"/>
        </w:rPr>
        <w:t xml:space="preserve"> </w:t>
      </w:r>
      <w:r>
        <w:rPr>
          <w:rFonts w:ascii="Times New Roman;serif" w:hAnsi="Times New Roman;serif"/>
          <w:b w:val="false"/>
          <w:color w:val="000000"/>
          <w:sz w:val="20"/>
        </w:rPr>
        <w:t xml:space="preserve">increase in personnel-related expenses, reflecting higher headcount to support business operations and (iv) a </w:t>
      </w:r>
      <w:r>
        <w:rPr>
          <w:rFonts w:ascii="Times New Roman;serif" w:hAnsi="Times New Roman;serif"/>
          <w:b w:val="false"/>
          <w:color w:val="000000"/>
          <w:sz w:val="20"/>
          <w:shd w:fill="FFFFFF" w:val="clear"/>
        </w:rPr>
        <w:t>$0.4 million</w:t>
      </w:r>
      <w:r>
        <w:rPr>
          <w:color w:val="000000"/>
        </w:rPr>
        <w:t xml:space="preserve"> </w:t>
      </w:r>
      <w:r>
        <w:rPr>
          <w:rFonts w:ascii="Times New Roman;serif" w:hAnsi="Times New Roman;serif"/>
          <w:b w:val="false"/>
          <w:color w:val="000000"/>
          <w:sz w:val="20"/>
        </w:rPr>
        <w:t xml:space="preserve">increase in professional and consultant fees. These increases were partially offset by a </w:t>
      </w:r>
      <w:r>
        <w:rPr>
          <w:rFonts w:ascii="Times New Roman;serif" w:hAnsi="Times New Roman;serif"/>
          <w:b w:val="false"/>
          <w:color w:val="000000"/>
          <w:sz w:val="20"/>
          <w:shd w:fill="FFFFFF" w:val="clear"/>
        </w:rPr>
        <w:t>$0.1 million</w:t>
      </w:r>
      <w:r>
        <w:rPr>
          <w:color w:val="000000"/>
        </w:rPr>
        <w:t xml:space="preserve"> </w:t>
      </w:r>
      <w:r>
        <w:rPr>
          <w:rFonts w:ascii="Times New Roman;serif" w:hAnsi="Times New Roman;serif"/>
          <w:b w:val="false"/>
          <w:color w:val="000000"/>
          <w:sz w:val="20"/>
        </w:rPr>
        <w:t xml:space="preserve">decrease in office-related expense.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general and administrative expenses to increase in future periods as we continue to scale our operations.</w:t>
      </w:r>
    </w:p>
    <w:p>
      <w:pPr>
        <w:pStyle w:val="TextBody"/>
        <w:bidi w:val="0"/>
        <w:spacing w:lineRule="auto" w:line="288" w:before="200" w:after="283"/>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Income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decreased by $0.9 million for the three months ended June 30, 2026, as compared to the three months ended June 30, 2025. The decrease was primarily due to a decrease in short-term investments and lower yields on cash, cash equivalents, and short-term investment balances.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decreased by $1.8 million for the six months ended June 30, 2026, as compared to the six months ended June 30, 2025. The decrease was primarily due to a decrease in short-term investments and lower yields on cash, cash equivalents, and short-term investment balances. </w:t>
      </w:r>
    </w:p>
    <w:p>
      <w:pPr>
        <w:pStyle w:val="TextBody"/>
        <w:bidi w:val="0"/>
        <w:spacing w:lineRule="auto" w:line="288" w:before="20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Other Income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decreased $1.1 million for the three and six months ended June 30, 2026 as compared to the three and six months ended June 30, 2025, respectively. The decrease was primarily due to refunds received in 2025 attributable to (i) approximately $0.4 million in Washington state sales tax refunds receivable and (ii) approximately $0.7 million of New York state tax refunds received for the prior period amended returns.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Other Expenses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other expenses was not material for the three and six months ended June 30, 2026 as compared to the three and six months ended June 30,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73685"/>
                <wp:effectExtent l="0" t="0" r="0" b="0"/>
                <wp:wrapNone/>
                <wp:docPr id="34" name="Frame3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firstLine="36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Capital Resources</w:t>
      </w:r>
    </w:p>
    <w:p>
      <w:pPr>
        <w:pStyle w:val="TextBody"/>
        <w:bidi w:val="0"/>
        <w:spacing w:lineRule="auto" w:line="288" w:before="12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Sources of Liquidity</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Since inception, we have not generated any revenue from product sales and have incurred significant operating losses and negative cash flows from our operations. We expect to continue to incur significant expenses and operating losses for the foreseeable future as we advance the clinical development of our product candidates. We expect that our research and development and general and administrative costs will continue to increase significantly, including in connection with conducting clinical trials and manufacturing for our product candidates to support commercialization and providing general and administrative support for our operations, including the costs associated with operating as a public company. As a result, we will need additional capital to fund our operations, which we may obtain from additional equity or debt financings, collaborations, licensing arrangements or other sources. We believe that our existing capital resources will be sufficient to fund our operations through at least 12 months following the filing date of this Form 10-Q. See the section entitled “Risk Factors” in this Quarterly Report on Form 10-Q for additional risks associated with our substantial capital requirements.</w:t>
      </w:r>
    </w:p>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 xml:space="preserve">As of June 30, 2026, we had cash, cash equivalents and short-term investments totaling </w:t>
      </w:r>
      <w:r>
        <w:rPr>
          <w:rFonts w:ascii="Times New Roman;serif" w:hAnsi="Times New Roman;serif"/>
          <w:b w:val="false"/>
          <w:color w:val="000000"/>
          <w:sz w:val="20"/>
        </w:rPr>
        <w:t>$225.4 million</w:t>
      </w:r>
      <w:r>
        <w:rPr>
          <w:rFonts w:ascii="Times New Roman;serif" w:hAnsi="Times New Roman;serif"/>
          <w:b w:val="false"/>
          <w:color w:val="000000"/>
          <w:sz w:val="20"/>
          <w:shd w:fill="FFFFFF" w:val="clear"/>
        </w:rPr>
        <w:t xml:space="preserve">. Since inception, we have funded our operations primarily with outside capital (e.g., proceeds from the sale of preferred stock, common stock and pre-funded warrants) and have raised aggregate net proceeds of approximately </w:t>
      </w:r>
      <w:r>
        <w:rPr>
          <w:rFonts w:ascii="Times New Roman;serif" w:hAnsi="Times New Roman;serif"/>
          <w:b w:val="false"/>
          <w:color w:val="000000"/>
          <w:sz w:val="20"/>
        </w:rPr>
        <w:t>$692.8 million, including net proceeds of approximately $134.8 million from the July 2, 2026, public offering described below.</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In August 2025, we entered into an at-the-market sales agreement (the “Sales Agreement” with Leerink Partners, LLC (“Leerink”) as sales agent, pursuant to which we may offer and sell, from time to time, shares of our common stock with an aggregate price up to $150.0 million through Leerink (the “ATM facility”).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$112.9 million</w:t>
      </w:r>
      <w:r>
        <w:rPr>
          <w:color w:val="000000"/>
        </w:rPr>
        <w:t xml:space="preserve"> </w:t>
      </w:r>
      <w:r>
        <w:rPr>
          <w:rFonts w:ascii="Times New Roman;serif" w:hAnsi="Times New Roman;serif"/>
          <w:b w:val="false"/>
          <w:color w:val="000000"/>
          <w:sz w:val="20"/>
        </w:rPr>
        <w:t>remained available for sale under the Sales Agreement.</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In July 2026, we issued and sold an aggregate of 4,124,999 shares of our common stock (inclusive of 624,999 shares of common stock pursuant to the exercise in full of the underwriters' option to purchase additional shares) at a public offering price of $30.00 per share and, in lieu of common stock to certain investors, pre-funded warrants to purchase up to 666,666 shares of our common stock at a public offering price of $29.999999 per pre-funded warrant (the "July 2026 Offering"). We received aggregate proceeds of approximately $143.8 million, or approximately </w:t>
      </w:r>
      <w:r>
        <w:rPr>
          <w:rFonts w:ascii="Times New Roman;serif" w:hAnsi="Times New Roman;serif"/>
          <w:b w:val="false"/>
          <w:color w:val="000000"/>
          <w:sz w:val="20"/>
          <w:shd w:fill="FFFFFF" w:val="clear"/>
        </w:rPr>
        <w:t>$134.8 million</w:t>
      </w:r>
      <w:r>
        <w:rPr>
          <w:color w:val="000000"/>
        </w:rPr>
        <w:t xml:space="preserve"> </w:t>
      </w:r>
      <w:r>
        <w:rPr>
          <w:rFonts w:ascii="Times New Roman;serif" w:hAnsi="Times New Roman;serif"/>
          <w:b w:val="false"/>
          <w:color w:val="000000"/>
          <w:sz w:val="20"/>
        </w:rPr>
        <w:t>after deducting the underwriters’ discount and commissions and estimated offering expenses.</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After giving effect to the July 2026 Offering, we had approximately </w:t>
      </w:r>
      <w:r>
        <w:rPr>
          <w:rFonts w:ascii="Times New Roman;serif" w:hAnsi="Times New Roman;serif"/>
          <w:b w:val="false"/>
          <w:color w:val="000000"/>
          <w:sz w:val="20"/>
          <w:shd w:fill="FFFFFF" w:val="clear"/>
        </w:rPr>
        <w:t>$360.2 million</w:t>
      </w:r>
      <w:r>
        <w:rPr>
          <w:color w:val="000000"/>
        </w:rPr>
        <w:t xml:space="preserve"> </w:t>
      </w:r>
      <w:r>
        <w:rPr>
          <w:rFonts w:ascii="Times New Roman;serif" w:hAnsi="Times New Roman;serif"/>
          <w:b w:val="false"/>
          <w:color w:val="000000"/>
          <w:sz w:val="20"/>
        </w:rPr>
        <w:t>of cash, cash equivalents and short-term investments.</w:t>
      </w:r>
      <w:r>
        <w:rPr>
          <w:color w:val="000000"/>
          <w:shd w:fill="FFFFFF" w:val="clear"/>
        </w:rPr>
        <w:t xml:space="preserve"> </w:t>
      </w:r>
      <w:r>
        <w:rPr>
          <w:rFonts w:ascii="Times New Roman;serif" w:hAnsi="Times New Roman;serif"/>
          <w:b w:val="false"/>
          <w:color w:val="000000"/>
          <w:sz w:val="20"/>
          <w:shd w:fill="FFFFFF" w:val="clear"/>
        </w:rPr>
        <w:t>Based on our current operating plan, we believe that our existing cash, cash equivalents and short-term investments should be sufficient to fund our operations into the first quarter of 2029. For more information see “Risk Factors."</w:t>
      </w:r>
      <w:r>
        <w:rPr>
          <w:color w:val="000000"/>
        </w:rPr>
        <w:t xml:space="preserve">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use the net proceeds from the July 2026 Offering, together with our existing cash, cash equivalents and short-term investments, to fund the ongoing clinical development of NGN-401, pre-commercial activities for NGN-401 and for working capital and other general corporate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73685"/>
                <wp:effectExtent l="0" t="0" r="0" b="0"/>
                <wp:wrapNone/>
                <wp:docPr id="35" name="Frame3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Future Capital Requirements</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order to complete the development of our product candidates and to build the sales, marketing and distribution infrastructure that management believes will be necessary to commercialize product candidates, if approved, we will require substantial additional capital. Accordingly, until such time as we can generate a sufficient amount of revenue from product sales or other sources, if ever, management expects to seek to raise any necessary additional capital through private or public equity or debt financings, loans or other capital sources, which could include income from collaborations, partnerships or other marketing, distribution, licensing or other strategic arrangements with third parties, or from grants. To the extent that we raise additional capital through equity financings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including restricting our operations and limiting our ability to incur liens, issue additional debt, pay dividends, repurchase our own common stock, make certain investments or engage in merger, consolidation, licensing, or asset sale transactions. If we raise capital through collaborations, partnerships, and other similar arrangements with third parties, we may be required to grant rights to develop and market product candidates that we would otherwise prefer to develop and market ourselves. We may be unable to raise additional capital from these sources on favorable terms, or at all. Our ability to raise additional capital may be adversely impacted by potential worsening global economic conditions and the recent disruptions to, and volatility in, the credit and financial markets in the United States and worldwide resulting from macroeconomic conditions, geopolitical instability, government regulation and otherwise. The failure to obtain sufficient capital on acceptable terms when needed could have a material adverse effect on our business, results of operations or financial condition, including by requiring us to delay, reduce or curtail our research, product development or future commercialization efforts. We may also be required to license rights to product candidates at an earlier stage of development or on less favorable terms than we would otherwise choose. Management cannot provide assurance that we will ever generate positive cash flow from operating activities.</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order to continue our operations, we must achieve profitable operations and/or obtain additional equity or debt financing. Until we achieve profitability, management plans to fund our operations and capital expenditures with cash on hand and the sale and issuance of securities. We may not be successful in raising additional capital and such capital, if available, may not be on terms that are acceptable to us.</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incurred, and expect to continue to incur, additional costs associated with operating as a public company. In addition, we anticipate that we will need substantial additional funding in connection with our continuing operations. Management bases its projections of operating capital requirements on our current operating plan, which includes several assumptions that may prove to be incorrect, and we may use all of our available capital resources sooner than management expects.</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Because of the numerous risks and uncertainties associated with research, development and commercialization of product candidates, we are unable to estimate the exact amount and timing of our capital requirements. Our future funding requirements will depend on many factors,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scope, timing, progress, results, and costs of researching and developing genetic medicines, and conducting larger and later-stage clinical 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scope, timing, progress, results, and costs of researching and developing other product candidates that we may pursue;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costs, timing, and outcome of regulatory review of our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costs of future activities, including product sales, medical affairs, marketing, manufacturing, and distribution, for any of our product candidates for which we receive marketing approval;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costs of manufacturing commercial-grade products and sufficient inventory to support commercial launch;</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revenue, if any, received from commercial sale of our products, should any of our product candidates receive marketing approval;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cost and timing of attracting, hiring, and retaining skilled personnel to support our operations and continued growth;</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costs of preparing, filing and prosecuting patent applications, maintaining and enforcing our intellectual property rights and defending intellectual property-related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73685"/>
                <wp:effectExtent l="0" t="0" r="0" b="0"/>
                <wp:wrapNone/>
                <wp:docPr id="36" name="Frame3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establish, maintain, and derive value from collaborations, partnerships or other marketing, distribution, licensing, or other strategic arrangements with third parties on favorable terms, if at all;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extent to which we acquire or in-license other product candidates and technologies, if any;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costs associated with operating as a public company.</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change in the outcome of any of these or other factors with respect to the development of any of our product candidates could significantly change the costs and timing associated with the development of that product candidate. Furthermore, our operating plans may change in the future, and we may need additional capital to meet the capital requirements associated with such operating plans.</w:t>
      </w:r>
    </w:p>
    <w:p>
      <w:pPr>
        <w:pStyle w:val="TextBody"/>
        <w:bidi w:val="0"/>
        <w:spacing w:lineRule="auto" w:line="288" w:before="36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our cash flows for the periods indicated (in thousands):</w:t>
      </w:r>
    </w:p>
    <w:tbl>
      <w:tblPr>
        <w:tblW w:w="8168" w:type="dxa"/>
        <w:jc w:val="left"/>
        <w:tblInd w:w="0" w:type="dxa"/>
        <w:tblLayout w:type="fixed"/>
        <w:tblCellMar>
          <w:top w:w="28" w:type="dxa"/>
          <w:left w:w="28" w:type="dxa"/>
          <w:bottom w:w="28" w:type="dxa"/>
          <w:right w:w="28" w:type="dxa"/>
        </w:tblCellMar>
      </w:tblPr>
      <w:tblGrid>
        <w:gridCol w:w="2013"/>
        <w:gridCol w:w="1773"/>
        <w:gridCol w:w="1778"/>
        <w:gridCol w:w="211"/>
        <w:gridCol w:w="796"/>
        <w:gridCol w:w="109"/>
        <w:gridCol w:w="109"/>
        <w:gridCol w:w="109"/>
        <w:gridCol w:w="109"/>
        <w:gridCol w:w="211"/>
        <w:gridCol w:w="796"/>
        <w:gridCol w:w="154"/>
      </w:tblGrid>
      <w:tr>
        <w:trPr/>
        <w:tc>
          <w:tcPr>
            <w:tcW w:w="2013"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(77,773)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Cash Flows from Operating Activities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we used $49.9 million of cash in operating activities. Cash used in operating activities reflected our net loss of $65.4 million, a $3.4 million decrease in our net operating assets and non-cash charges of $12.2 million, which consisted primarily of $11.5 million of stock-based compensation, $1.7 million in depreciation and impairment expense and $0.4 million in non-cash operating lease expense partially offset by $0.7 million in accretion on the held-to-maturity investments and $0.7 million change in the contingent value rights liability. The primary use of cash was to fund our operations related to the development of our product candidates.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we used $40.2 million of cash in operating activities. Cash used in operating activities reflected our net loss of $44.7 million, a $1.8 million net increase in our operating assets and liabilities, and non-cash charges of $6.2 million, which consisted primarily of $7.5 million in stock-based compensation, $1.5 million in depreciation and $0.4 million in non-cash operating lease expense, partially offset by $3.2 million in accretion on the held-to-maturity investments. The primary use of cash was to fund our operations related to the development of our product candidates.</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 months ended June 30, 2026, net cash flows provided by investing activities consisted of proceeds from maturities of short-term investments of $249.1 million, partially offset by purchases of short-term investments of $196.2 million and purchases of property and equipment of $0.6 million.</w:t>
      </w:r>
    </w:p>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net cash flows used in investing activities </w:t>
      </w:r>
      <w:r>
        <w:rPr>
          <w:rFonts w:ascii="Times New Roman;serif" w:hAnsi="Times New Roman;serif"/>
          <w:b w:val="false"/>
          <w:color w:val="000000"/>
          <w:sz w:val="20"/>
        </w:rPr>
        <w:t>consisted of purchases of short-term investments of $149.4 million and purchases of property and equipment of $0.9 million, partially offset by proceeds from maturities of short-term investments of $112.7 million.</w:t>
      </w:r>
    </w:p>
    <w:p>
      <w:pPr>
        <w:pStyle w:val="TextBody"/>
        <w:bidi w:val="0"/>
        <w:spacing w:lineRule="auto" w:line="288" w:before="200" w:after="283"/>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Flows from Financing Activities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flows provided by financing activities primarily consisted of $5.9 million in net proceeds from open market sales of common stock pursuant to the at-the-market (ATM) sales agreement with Leerink Partners, LLC, $0.2 million from the exercise of stock options and $0.1 million from the proceeds from issuance of common stock under the 2023 Employee Stock Purchase Plan. As of June 30, 2026, the remaining amount authorized for sale under the ATM sales agreement was $112.9 million.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flows provided by financing activities were insignificant.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73685"/>
                <wp:effectExtent l="0" t="0" r="0" b="0"/>
                <wp:wrapNone/>
                <wp:docPr id="37" name="Frame3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firstLine="36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Contractual Obligations and Commitments</w:t>
      </w:r>
    </w:p>
    <w:p>
      <w:pPr>
        <w:pStyle w:val="TextBody"/>
        <w:bidi w:val="0"/>
        <w:spacing w:lineRule="auto" w:line="288" w:before="20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Lease Obligations</w:t>
      </w:r>
    </w:p>
    <w:p>
      <w:pPr>
        <w:pStyle w:val="TextBody"/>
        <w:bidi w:val="0"/>
        <w:spacing w:lineRule="auto" w:line="288" w:before="200" w:after="283"/>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New York Headquarters Lease</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sub-lease approximately 6,000 square feet of office space for our corporate headquarters in New York, New York. In November 2025, we extended the lease by an additional 19 months at a lower cost per square foot which now expires in January 2028.</w:t>
      </w:r>
    </w:p>
    <w:p>
      <w:pPr>
        <w:pStyle w:val="TextBody"/>
        <w:bidi w:val="0"/>
        <w:spacing w:lineRule="auto" w:line="288" w:before="200" w:after="283"/>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Houston Lease</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lease 42,342 square feet for a manufacturing facility in Houston, Texas. The lease expires in August 2029. We have the option to renew the lease term for two additional five-year terms. The renewal periods were not included in the lease term for purposes of determining the lease liability or right-of-use asset.</w:t>
      </w:r>
    </w:p>
    <w:p>
      <w:pPr>
        <w:pStyle w:val="TextBody"/>
        <w:bidi w:val="0"/>
        <w:spacing w:lineRule="auto" w:line="288" w:before="200" w:after="283"/>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Blaine Lease in Seattle</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lease approximately 33,300 square feet of office space in Seattle, Washington, that was previously used by Neoleukin for offices, a laboratory for research and development, and related uses. The lease expires on February 1, 2029, with the option to extend the lease for two additional five-year terms. The renewal periods were not included in the lease term for purposes of determining the lease liability.</w:t>
      </w:r>
    </w:p>
    <w:p>
      <w:pPr>
        <w:pStyle w:val="TextBody"/>
        <w:bidi w:val="0"/>
        <w:spacing w:lineRule="auto" w:line="288" w:before="200" w:after="283"/>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Eastlake Lease in Seattle</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lease approximately 6,272 square feet of office space in Seattle, Washington, that was previously used by Neoleukin for additional office and laboratory space for research and development and related uses (the “Eastlake Lease”). The lease expires on September 30, 2026. We also assumed the existing agreement to sublease the Eastlake Lease to an unrelated third party (“Eastlake Sublease”). Pursuant to the terms of the Eastlake Sublease, we are entitled to receive a total of approximately $1.6 million in lease payments. The term of the sublease is through September 30, 2026.</w:t>
      </w:r>
    </w:p>
    <w:p>
      <w:pPr>
        <w:pStyle w:val="TextBody"/>
        <w:bidi w:val="0"/>
        <w:spacing w:lineRule="auto" w:line="288" w:before="20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Lease CVR</w:t>
      </w:r>
    </w:p>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 xml:space="preserve">Each contingent value right (“CVR”) distributed pursuant to the CVR Licensing Agreement, dated December 18, 2023, by and between us and the rights agent (the “CVR Agreement”) contains the contractual right to receive </w:t>
      </w:r>
      <w:r>
        <w:rPr>
          <w:rFonts w:ascii="Times New Roman;serif" w:hAnsi="Times New Roman;serif"/>
          <w:b w:val="false"/>
          <w:color w:val="000000"/>
          <w:sz w:val="20"/>
        </w:rPr>
        <w:t>certain net savings, if any, realized by June 30, 2029 in connection with certain legacy lease obligations related to our business prior to the reverse merger with Neoleukin (the “Lease CVR”).</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approximately </w:t>
      </w:r>
      <w:r>
        <w:rPr>
          <w:rFonts w:ascii="Times New Roman;serif" w:hAnsi="Times New Roman;serif"/>
          <w:b w:val="false"/>
          <w:color w:val="000000"/>
          <w:sz w:val="20"/>
        </w:rPr>
        <w:t>$0.4 million was recorded as a component of the contingent value rights liability arising from the Lease CVR</w:t>
      </w:r>
      <w:r>
        <w:rPr>
          <w:color w:val="000000"/>
          <w:shd w:fill="FFFFFF" w:val="clear"/>
        </w:rPr>
        <w:t xml:space="preserve"> </w:t>
      </w:r>
      <w:r>
        <w:rPr>
          <w:rFonts w:ascii="Times New Roman;serif" w:hAnsi="Times New Roman;serif"/>
          <w:b w:val="false"/>
          <w:color w:val="000000"/>
          <w:sz w:val="20"/>
          <w:shd w:fill="FFFFFF" w:val="clear"/>
        </w:rPr>
        <w:t xml:space="preserve">on our condensed consolidated balance sheet. The commitment relates to Neoleukin’s sublease agreement, effective October 31, 2023, for one of its properties with an unrelated third party for the remainder of the lease term. For more information on the Lease CVR, see Note 9, </w:t>
      </w:r>
      <w:r>
        <w:rPr>
          <w:rFonts w:ascii="Times New Roman;serif" w:hAnsi="Times New Roman;serif"/>
          <w:b w:val="false"/>
          <w:i/>
          <w:color w:val="000000"/>
          <w:sz w:val="20"/>
          <w:shd w:fill="FFFFFF" w:val="clear"/>
        </w:rPr>
        <w:t>Commitments and Contingencies—Lease CVR</w:t>
      </w:r>
      <w:r>
        <w:rPr>
          <w:rFonts w:ascii="Times New Roman;serif" w:hAnsi="Times New Roman;serif"/>
          <w:b w:val="false"/>
          <w:color w:val="000000"/>
          <w:sz w:val="20"/>
          <w:shd w:fill="FFFFFF" w:val="clear"/>
        </w:rPr>
        <w:t>, in the notes to the financial statements included in Part I, Item 1 of this Quarterly Report on Form 10-Q.</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Intellectual Property CVR</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The December 2023 CVR Licensing Agreement and April 2024 CVR Licensing Agreement collectively account for the total Intellectual Property CVR. As of June 30, 2026, no other development and sales milestones were achieved nor deemed probable of achievement under the December 2023 CVR Licensing Agreement. </w:t>
      </w:r>
      <w:r>
        <w:rPr>
          <w:rFonts w:ascii="Times New Roman;serif" w:hAnsi="Times New Roman;serif"/>
          <w:b w:val="false"/>
          <w:color w:val="000000"/>
          <w:sz w:val="20"/>
          <w:shd w:fill="FFFFFF" w:val="clear"/>
        </w:rPr>
        <w:t xml:space="preserve">For more information on the Intellectual Property CVR, see Note 9, </w:t>
      </w:r>
      <w:r>
        <w:rPr>
          <w:rFonts w:ascii="Times New Roman;serif" w:hAnsi="Times New Roman;serif"/>
          <w:b w:val="false"/>
          <w:i/>
          <w:color w:val="000000"/>
          <w:sz w:val="20"/>
          <w:shd w:fill="FFFFFF" w:val="clear"/>
        </w:rPr>
        <w:t>Commitments and Contingencies—Intellectual Property CVR</w:t>
      </w:r>
      <w:r>
        <w:rPr>
          <w:rFonts w:ascii="Times New Roman;serif" w:hAnsi="Times New Roman;serif"/>
          <w:b w:val="false"/>
          <w:color w:val="000000"/>
          <w:sz w:val="20"/>
          <w:shd w:fill="FFFFFF" w:val="clear"/>
        </w:rPr>
        <w:t>, in the notes to the financial statements included in Part I, Item 1 of this Quarterly Report on Form 10-Q.</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the contingent value rights liability as of June 30, 2026 and December 31, 2025 (in thousands):</w:t>
      </w:r>
    </w:p>
    <w:tbl>
      <w:tblPr>
        <w:tblW w:w="7370" w:type="dxa"/>
        <w:jc w:val="left"/>
        <w:tblInd w:w="0" w:type="dxa"/>
        <w:tblLayout w:type="fixed"/>
        <w:tblCellMar>
          <w:top w:w="28" w:type="dxa"/>
          <w:left w:w="28" w:type="dxa"/>
          <w:bottom w:w="28" w:type="dxa"/>
          <w:right w:w="28" w:type="dxa"/>
        </w:tblCellMar>
      </w:tblPr>
      <w:tblGrid>
        <w:gridCol w:w="808"/>
        <w:gridCol w:w="708"/>
        <w:gridCol w:w="719"/>
        <w:gridCol w:w="239"/>
        <w:gridCol w:w="461"/>
        <w:gridCol w:w="125"/>
        <w:gridCol w:w="109"/>
        <w:gridCol w:w="109"/>
        <w:gridCol w:w="109"/>
        <w:gridCol w:w="330"/>
        <w:gridCol w:w="729"/>
        <w:gridCol w:w="171"/>
        <w:gridCol w:w="109"/>
        <w:gridCol w:w="109"/>
        <w:gridCol w:w="109"/>
        <w:gridCol w:w="221"/>
        <w:gridCol w:w="489"/>
        <w:gridCol w:w="114"/>
        <w:gridCol w:w="109"/>
        <w:gridCol w:w="109"/>
        <w:gridCol w:w="109"/>
        <w:gridCol w:w="323"/>
        <w:gridCol w:w="715"/>
        <w:gridCol w:w="237"/>
      </w:tblGrid>
      <w:tr>
        <w:trPr/>
        <w:tc>
          <w:tcPr>
            <w:tcW w:w="8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Current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Non-Current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Current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Non-Current </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CVR</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CVR</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CVR liability</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73685"/>
                <wp:effectExtent l="0" t="0" r="0" b="0"/>
                <wp:wrapNone/>
                <wp:docPr id="38" name="Frame3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Research and Development and Manufacturing Agreements</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enter into agreements with certain vendors for the provision of goods and services, which includes manufacturing services with contract development and manufacturing organizations and development and clinical trial services with CROs.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These obligations and commitments are not presented separately.</w:t>
      </w:r>
    </w:p>
    <w:p>
      <w:pPr>
        <w:pStyle w:val="TextBody"/>
        <w:bidi w:val="0"/>
        <w:spacing w:lineRule="auto" w:line="288" w:before="20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License and Collaboration Agreements</w:t>
      </w:r>
    </w:p>
    <w:p>
      <w:pPr>
        <w:pStyle w:val="TextBody"/>
        <w:bidi w:val="0"/>
        <w:spacing w:lineRule="auto" w:line="288" w:before="200" w:after="283"/>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Master Collaboration Agreement with The University of Edinburgh</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In December 2020, we entered into a Master Collaboration Agreement (the “MCA”) with the University Court of the University of Edinburgh (the “University of Edinburgh”). Under the MCA, we and the University of Edinburgh agreed to collaborate on certain research and development projects (“Projects”), and we agreed to provide funding for such Projects for a 40-month initial term, which was extended in November 2023 for an additional 33 months and may be </w:t>
      </w:r>
      <w:r>
        <w:rPr>
          <w:rFonts w:ascii="Times New Roman;serif" w:hAnsi="Times New Roman;serif"/>
          <w:b w:val="false"/>
          <w:color w:val="000000"/>
          <w:sz w:val="20"/>
          <w:shd w:fill="FFFFFF" w:val="clear"/>
        </w:rPr>
        <w:t>further</w:t>
      </w:r>
      <w:r>
        <w:rPr>
          <w:color w:val="000000"/>
        </w:rPr>
        <w:t xml:space="preserve"> </w:t>
      </w:r>
      <w:r>
        <w:rPr>
          <w:rFonts w:ascii="Times New Roman;serif" w:hAnsi="Times New Roman;serif"/>
          <w:b w:val="false"/>
          <w:color w:val="000000"/>
          <w:sz w:val="20"/>
        </w:rPr>
        <w:t xml:space="preserve">extended by mutual agreement. Under the MCA, we are obligated to pay semi-annual installment payments relating to funding of costs for personnel and lab consumables for the duration of the MCA. Either party may terminate the MCA for convenience upon 90 days’ notice. If we were to terminate the MCA, we would be responsible for all non-cancellable costs and commitments related to any particular Project and any and all funding costs for any person working on such Project. </w:t>
      </w:r>
    </w:p>
    <w:p>
      <w:pPr>
        <w:pStyle w:val="TextBody"/>
        <w:bidi w:val="0"/>
        <w:spacing w:lineRule="auto" w:line="288" w:before="200" w:after="283"/>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License Agreement with The University of Edinburgh</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In March 2022, we exercised our option under the MCA with respect to certain Projects and entered into a License Agreement with the University of </w:t>
      </w:r>
      <w:r>
        <w:rPr>
          <w:rFonts w:ascii="Times New Roman;serif" w:hAnsi="Times New Roman;serif"/>
          <w:b w:val="false"/>
          <w:color w:val="000000"/>
          <w:sz w:val="20"/>
          <w:shd w:fill="FFFFFF" w:val="clear"/>
        </w:rPr>
        <w:t>Edinburgh</w:t>
      </w:r>
      <w:r>
        <w:rPr>
          <w:color w:val="000000"/>
        </w:rPr>
        <w:t xml:space="preserve"> </w:t>
      </w:r>
      <w:r>
        <w:rPr>
          <w:rFonts w:ascii="Times New Roman;serif" w:hAnsi="Times New Roman;serif"/>
          <w:b w:val="false"/>
          <w:color w:val="000000"/>
          <w:sz w:val="20"/>
        </w:rPr>
        <w:t xml:space="preserve">(the “March 2022 Edinburgh License Agreement”), pursuant to which we licensed certain patents and know-how related to the EXACT technology and optimized </w:t>
      </w:r>
      <w:r>
        <w:rPr>
          <w:rFonts w:ascii="Times New Roman;serif" w:hAnsi="Times New Roman;serif"/>
          <w:b w:val="false"/>
          <w:i/>
          <w:color w:val="000000"/>
          <w:sz w:val="20"/>
        </w:rPr>
        <w:t>MECP2</w:t>
      </w:r>
      <w:r>
        <w:rPr>
          <w:color w:val="000000"/>
        </w:rPr>
        <w:t xml:space="preserve"> </w:t>
      </w:r>
      <w:r>
        <w:rPr>
          <w:rFonts w:ascii="Times New Roman;serif" w:hAnsi="Times New Roman;serif"/>
          <w:b w:val="false"/>
          <w:color w:val="000000"/>
          <w:sz w:val="20"/>
        </w:rPr>
        <w:t>cassettes on an exclusive basis. Under the March 2022 Edinburgh License Agreement, we obtained an exclusive, worldwide license to the licensed patents to develop, manufacture, supply, sell, and commercialize any products that utilize the licensed patents (the “Licensed Products”) in exchange for low single-digit percentage royalties on future commercial net sales of the Licensed Products. Royalties are payable on a Licensed Product-by-Licensed Product and country-by-country basis until the later of the expiration of the last licensed patent covering such Licensed Product in the country where the Licensed Product is sold, or, if no licensed patent exists or has expired in such country, then 10 years from first commercial sale of such Licensed Product in such country (the “Royalty Term”). The term of the March 2022 Edinburgh License Agreement continues until the end of the Royalty Term and the expiration of all of the payment obligations under that license. We may terminate the March 2022 Edinburgh License Agreement for convenience upon 90 days’ notice. In connection with the license, we are also obligated to pay the University of Edinburgh up to $5.3 million in regulatory-related milestones, of which $0.3 million has been paid in connection with the Phase 1/2 study. The remaining regulatory milestone payments consist of $2.0 million payable upon achievement of the first regulatory approval (FDA or EMA) and $3.0 million payable upon achievement of the second regulatory approval (FDA or EMA). In addition, we may be obligated to make up to $25.0 million of sales-related milestone payments based on annual net sales of Licensed Products in excess of defined thresholds.</w:t>
      </w:r>
    </w:p>
    <w:p>
      <w:pPr>
        <w:pStyle w:val="TextBody"/>
        <w:bidi w:val="0"/>
        <w:spacing w:lineRule="auto" w:line="288" w:before="200" w:after="283"/>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License Agreement with Virovek</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September 2020, we entered into a Non-Exclusive License Agreement with Virovek, Inc., pursuant to which we have a license to use certain patents and know-how on a non-exclusive basis related to our baculovirus process in exchange for low single-digit percentage royalties on future commercial net sales of each product using the baculovirus process, development milestone payments of up to $0.2 million in the aggregate, and a nonrefundable annual license fee. This agreement continues until the later of (i) the expiration of the last to expire patent right that covers the manufacture, use, offer for sale, sale, importation, export or supply of any licensed product, (ii) ten years after the first commercial sale of any licensed product, or (iii) the expiration of all regulatory or market exclusivities. We may terminate this agreement for convenience upon 60 days’ notice.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73685"/>
                <wp:effectExtent l="0" t="0" r="0" b="0"/>
                <wp:wrapNone/>
                <wp:docPr id="39" name="Frame3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License Agreement with Sigma-Aldrich Co</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January 2023, we entered into a Non-Exclusive License Agreement with Sigma-Aldrich Co. LLC, pursuant to which we have a license to certain patents and know-how on a non-exclusive basis related to certain cell lines used in our baculovirus process in exchange for a small annual fee on a product-by-product basis, payable once the first product candidate entered the clinic. In addition, on a product-by-product basis, we are obligated to pay up to $2.5 million in the aggregate for development-related milestones. This agreement remains in force for as long as we continue to possess and use the licensed technology. We may terminate this agreement for convenience upon 60 days’ notice.</w:t>
      </w:r>
    </w:p>
    <w:p>
      <w:pPr>
        <w:pStyle w:val="TextBody"/>
        <w:bidi w:val="0"/>
        <w:spacing w:lineRule="auto" w:line="288" w:before="200" w:after="283"/>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License Agreement with Stanford</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In August 2024, we entered into a Non-Exclusive License Agreement with the Board of Trustees of Leland Stanford Junior University (the “Stanford License Agreement”) to license, on a non-exclusive basis, certain biological materials used in the manufacturing process of our product candidates, including NGN-401. Over the 10-year term of the Stanford License Agreement, we are obligated to pay an annual license maintenance fee. </w:t>
      </w:r>
      <w:r>
        <w:rPr>
          <w:rFonts w:ascii="Times New Roman;serif" w:hAnsi="Times New Roman;serif"/>
          <w:b w:val="false"/>
          <w:color w:val="000000"/>
          <w:sz w:val="20"/>
          <w:shd w:fill="FFFFFF" w:val="clear"/>
        </w:rPr>
        <w:t>We may terminate this agreement for convenience upon 30 days’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Off-Balance Sheet Arrangements</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currently do not have, and did not have during the periods presented, any off-balance sheet arrangements, as defined in the rules and regulations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Policies and Significant Judgments and Estimates</w:t>
      </w:r>
    </w:p>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 xml:space="preserve">Our financial statements are prepared in accordance with U.S. GAAP. The preparation of the financial statements and related disclosures requires management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that management believes are reasonable under the circumstances, the results of which form the basis for making judgments about the carrying values of assets and liabilities that are not readily apparent from other sources. Management evaluates estimates and assumptions on a periodic basis. Our actual results may differ from these estimates. A summary of our significant accounting policies is presented in Part II, Item 8 of our Annual Report on Form 10-K for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There have been no material changes to our significant accounting policies during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See Note 3, </w:t>
      </w:r>
      <w:r>
        <w:rPr>
          <w:rFonts w:ascii="Times New Roman;serif" w:hAnsi="Times New Roman;serif"/>
          <w:b w:val="false"/>
          <w:i/>
          <w:color w:val="000000"/>
          <w:sz w:val="20"/>
        </w:rPr>
        <w:t>Summary of Significant Accounting Policies—Recently Issued Accounting Standards</w:t>
      </w:r>
      <w:r>
        <w:rPr>
          <w:color w:val="000000"/>
        </w:rPr>
        <w:t xml:space="preserve"> </w:t>
      </w:r>
      <w:r>
        <w:rPr>
          <w:rFonts w:ascii="Times New Roman;serif" w:hAnsi="Times New Roman;serif"/>
          <w:b w:val="false"/>
          <w:color w:val="000000"/>
          <w:sz w:val="20"/>
        </w:rPr>
        <w:t>in the notes to the condensed consolidated financial statements included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“smaller reporting company,” as defined by Rule 12b-2 of the Exchange Act, and pursuant to Item 305 of Regulation S-K, we are not required to provide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Evaluation of disclosure controls and procedures</w:t>
      </w:r>
      <w:r>
        <w:rPr>
          <w:rFonts w:ascii="Times New Roman;serif" w:hAnsi="Times New Roman;serif"/>
          <w:b w:val="false"/>
          <w:color w:val="000000"/>
          <w:sz w:val="20"/>
        </w:rPr>
        <w:t xml:space="preserve">.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principal executive and our principal financial officer, our management conducted an evaluation of the effectiveness of the design and operation of our disclosure controls and procedures, as defined in Rules 13a-15(e) and 15d-15(e) under the Exchange Act, as of the end of the period covered by this report.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73685"/>
                <wp:effectExtent l="0" t="0" r="0" b="0"/>
                <wp:wrapNone/>
                <wp:docPr id="40" name="Frame3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on management’s evaluation, our principal executive and our principal financial officer concluded that our disclosure controls and procedures are designed to, and are effective to, provide assurance at a reasonable level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and financial officer, as appropriate, to allow timely decisions regarding required disclosures.</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Changes in internal control over financial reporting</w:t>
      </w:r>
      <w:r>
        <w:rPr>
          <w:rFonts w:ascii="Times New Roman;serif" w:hAnsi="Times New Roman;serif"/>
          <w:b w:val="false"/>
          <w:color w:val="000000"/>
          <w:sz w:val="20"/>
        </w:rPr>
        <w:t>. There have not been any changes in our internal control over financial reporting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73685"/>
                <wp:effectExtent l="0" t="0" r="0" b="0"/>
                <wp:wrapNone/>
                <wp:docPr id="41" name="Frame4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from time to time be named as a party to legal claims, actions and complaints, including matters involving employment, intellectual property or others. We are not presently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Investing in shares of our common stock involves a high degree of risk. You should carefully consider the following risks and uncertainties, together with all of the other information contained in this Quarterly Report on Form 10-Q and our Annual Report on Form 10-K before making an investment decision. The occurrence of any of the following risks could materially and adversely affect our business, financial condition, reputation, or results of operations. In such case, the trading price of shares of our common stock could decline, and you may lose all or part of your investment. It is not possible to predict or identify all such risks; our operations could also be affected by factors, events or uncertainties that are not presently known to us or that we currently do not consider to present significant risks to our operations. Therefore, you should not consider the following risks to be a complete statement of all the potential risks or uncertainties that we face. Moreover,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w:t>
      </w:r>
    </w:p>
    <w:p>
      <w:pPr>
        <w:pStyle w:val="TextBody"/>
        <w:bidi w:val="0"/>
        <w:spacing w:lineRule="auto" w:line="288" w:before="200" w:after="60"/>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Summary of Risk Factors</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We have a limited operating history, have not completed any clinical trials, and have no products approved for commercial sale, and our results may vary from quarter to quarter.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shd w:fill="FFFFFF" w:val="clear"/>
        </w:rPr>
        <w:t>We will require substantial additional capital to finance our operations in the future. If we are unable to raise such capital when needed, or on acceptable terms, we may be forced to delay, reduce or eliminate clinical trials, product development programs or future commercialization efforts.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shd w:fill="FFFFFF" w:val="clear"/>
        </w:rPr>
        <w:t>We have incurred significant losses since inception, expect to incur significant losses for the foreseeable future and may not be able to achieve or sustain profitability in the future. We have no products for sale, have not generated any product revenue and may never generate product revenue or become profitable.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shd w:fill="FFFFFF" w:val="clear"/>
        </w:rPr>
        <w:t xml:space="preserve">We are substantially dependent on the success of our </w:t>
      </w:r>
      <w:r>
        <w:rPr>
          <w:rFonts w:ascii="Times New Roman;serif" w:hAnsi="Times New Roman;serif"/>
          <w:b w:val="false"/>
          <w:color w:val="000000"/>
          <w:sz w:val="20"/>
        </w:rPr>
        <w:t xml:space="preserve">most advanced product candidate, NGN-401, </w:t>
      </w:r>
      <w:r>
        <w:rPr>
          <w:rFonts w:ascii="Times New Roman;serif" w:hAnsi="Times New Roman;serif"/>
          <w:b w:val="false"/>
          <w:color w:val="000000"/>
          <w:sz w:val="20"/>
          <w:shd w:fill="FFFFFF" w:val="clear"/>
        </w:rPr>
        <w:t>and our clinical trial of NGN-401 may not be successful.</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NGN-401 is in clinical development and our preclinical programs are in early stages of development and may fail in development or suffer delays that materially and adversely affect their commercial viability.</w:t>
      </w:r>
      <w:r>
        <w:rPr>
          <w:color w:val="000000"/>
        </w:rPr>
        <w:t xml:space="preserve"> </w:t>
      </w:r>
      <w:r>
        <w:rPr>
          <w:rFonts w:ascii="Times New Roman;serif" w:hAnsi="Times New Roman;serif"/>
          <w:b w:val="false"/>
          <w:color w:val="000000"/>
          <w:sz w:val="20"/>
        </w:rPr>
        <w:t>If we are unable to complete development of, or commercialize, our product candidates, or experience significant delays in doing so, our business will be materially harmed.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shd w:fill="FFFFFF" w:val="clear"/>
        </w:rPr>
        <w:t>Delays in developing our manufacturing capabilities or failure to achieve operating efficiencies from such capabilities may require us to devote additional resources and management time to manufacturing operations and may delay our product development timelines.</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We have a number of academic collaborations, and currently rely on our collaboration with the </w:t>
      </w:r>
      <w:r>
        <w:rPr>
          <w:rFonts w:ascii="Times New Roman;serif" w:hAnsi="Times New Roman;serif"/>
          <w:b w:val="false"/>
          <w:color w:val="000000"/>
          <w:sz w:val="20"/>
        </w:rPr>
        <w:t>University Court of the University</w:t>
      </w:r>
      <w:r>
        <w:rPr>
          <w:color w:val="000000"/>
          <w:shd w:fill="FFFFFF" w:val="clear"/>
        </w:rPr>
        <w:t xml:space="preserve"> </w:t>
      </w:r>
      <w:r>
        <w:rPr>
          <w:rFonts w:ascii="Times New Roman;serif" w:hAnsi="Times New Roman;serif"/>
          <w:b w:val="false"/>
          <w:color w:val="000000"/>
          <w:sz w:val="20"/>
          <w:shd w:fill="FFFFFF" w:val="clear"/>
        </w:rPr>
        <w:t>of Edinburgh for certain aspects of our preclinical research and development programs, including working in collaboration to discover and preclinically develop potential product candidates for our near-term future pipeline. Failure or delay of the University of Edinburgh or any other collaborator to fulfill all or part of its obligations under our agreements, a breakdown in collaboration between the parties or a complete or partial loss of the relationship would materially harm our business.</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 order to successfully implement our plans and strategies, we will need to grow the size of our organization and we may experience difficulties in managing this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73685"/>
                <wp:effectExtent l="0" t="0" r="0" b="0"/>
                <wp:wrapNone/>
                <wp:docPr id="42" name="Frame4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shd w:fill="FFFFFF" w:val="clear"/>
        </w:rPr>
        <w:t>The regulatory approval processes of the U.S. Food and Drug Administration (“FDA”) and other comparable foreign regulatory authorities are lengthy, time-consuming and inherently unpredictable. If we are not able to obtain, or if there are delays in obtaining, required regulatory approvals for our product candidates, or if we determine that we are not willing or able to complete the regulatory approval process given the resources required to do so, we will not be able to commercialize, or will be delayed in commercializing, such product candidates, and our ability to generate revenue will be materially impaired.</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Because gene therapy is novel and the regulatory landscape that governs any product candidates we may develop is rigorous, complex, uncertain and subject to change, we cannot predict the time and cost of obtaining regulatory approval, if received at all, for any product candidates we may develop.</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Our estimates of market opportunity and forecasts of market growth may prove to be inaccurate, and even if the markets in which we compete achieve the forecasted growth, our business may not grow at similar rates, or at all.</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The market price of our common stock may continue to be volatile.</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Future sales of a substantial number of shares of our stock could cause our stock price to decline.</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Our executive officers, directors and principal stockholders have the ability to control or significantly influence all matters submitted to our stockholders for approval.</w:t>
      </w: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Our Limited Operating History, Financial Position and Capital Requirements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have a limited operating history, have not completed any clinical trials, and have no products approved for commercial sale, and our results may vary from quarter to quarter.</w:t>
      </w:r>
    </w:p>
    <w:p>
      <w:pPr>
        <w:pStyle w:val="TextBody"/>
        <w:bidi w:val="0"/>
        <w:spacing w:lineRule="auto" w:line="288" w:before="20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a clinical-stage biotechnology company with limited operating history. Since our inception in 2018, we have incurred significant operating losses and have used substantially all of our resources to conduct research and development activities, preclinical studies, Phase 1/2 clinical trials of our most advanced product candidates as well as our Embolden trial for NGN-401, establish in-house manufacturing capabilities, including analytical and process development operations to support ongoing manufacturing operations, manufacture product candidates, conduct business planning, develop and maintain our intellectual property portfolio, hire personnel, raise capital, and provide general and administrative support for these activities. We have limited experience as a company in initiating, conducting or completing clinical trials. In part because of this lack of experience, we cannot be certain that our current and planned clinical trials will begin on time, meet our anticipated timelines for enrollment and data analysis, or be completed on time, if at all. In addition, while we have completed dosing in the Embolden trial and the Phase 1/2 trial for NGN-401 in patients with Rett syndrome, and a Phase 1/2 clinical trial of NGN-101 in patients with CLN5 Batten disease, we have not yet demonstrated our ability to successfully complete clinical trials (including Phase 3 or other pivotal clinical trials), obtain regulatory or marketing approvals, manufacture a commercial-scale product or arrange for a third party to do so on our behalf, or conduct sales, marketing and distribution activities necessary for successful product commercialization. Additionally, we expect our financial condition and operating results to continue to fluctuate significantly from period to period due to a variety of factors, many of which are beyond our control. Consequently, any predictions made about our future success or viability may not be as accurate as they could be if we had a longer operating history.</w:t>
      </w:r>
    </w:p>
    <w:p>
      <w:pPr>
        <w:pStyle w:val="TextBody"/>
        <w:bidi w:val="0"/>
        <w:spacing w:lineRule="auto" w:line="288" w:before="20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as our business grows, we may encounter unforeseen expenses, restrictions, difficulties, complications, delays and other known and unknown factors. We will need to transition at some point from a company with a limited focus on early research and development and small clinical trials to a company that can also support commercial activities, including the manufacture of commercial scale product. We may not be successful in such a transition.</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will require substantial additional capital to finance our operations in the future. If we are unable to raise such capital when needed, or on acceptable terms, we may be forced to delay, reduce or eliminate clinical trials, product development programs or future commercialization efforts.</w:t>
      </w:r>
    </w:p>
    <w:p>
      <w:pPr>
        <w:pStyle w:val="TextBody"/>
        <w:bidi w:val="0"/>
        <w:spacing w:lineRule="auto" w:line="288" w:before="200" w:after="283"/>
        <w:ind w:left="0" w:right="0" w:firstLine="490"/>
        <w:jc w:val="both"/>
        <w:rPr/>
      </w:pPr>
      <w:r>
        <w:rPr>
          <w:rFonts w:ascii="Times New Roman;serif" w:hAnsi="Times New Roman;serif"/>
          <w:b w:val="false"/>
          <w:color w:val="000000"/>
          <w:sz w:val="20"/>
          <w:shd w:fill="FFFFFF" w:val="clear"/>
        </w:rPr>
        <w:t xml:space="preserve">Developing biotechnology products is a long, time-consuming, expensive and uncertain process that takes years to complete. Since our inception, we have funded our operations primarily through equity financings and have incurred significant recurring losses, including a cumulative net loss from inception through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$418.1 million</w:t>
      </w:r>
      <w:r>
        <w:rPr>
          <w:rFonts w:ascii="Times New Roman;serif" w:hAnsi="Times New Roman;serif"/>
          <w:b w:val="false"/>
          <w:color w:val="000000"/>
          <w:sz w:val="20"/>
          <w:shd w:fill="FFFFFF" w:val="clear"/>
        </w:rPr>
        <w:t>. We expect to continue incurring significant expenses in connection with our ongoing activities, including continued patient monitoring activities for our ongoing Embolden trial of NGN-401 in patients with Rett syndrome, with the expectation that we will also initiate additional clinical trials in the future, and continue to research, develop and conduct preclinical studies of our other potential product candidates. We also anticipate that we may have near term expenses related to NGN-101 as we continue to evaluate options for the program following the denial by the FDA of a Regenerative Medicine Advanced Therapy (“RMAT”) designation, which precludes our ability to use a streamlined registrational pathway necessary for further investment in the program</w:t>
      </w:r>
      <w:r>
        <w:rPr>
          <w:rFonts w:ascii="Times New Roman;serif" w:hAnsi="Times New Roman;serif"/>
          <w:b w:val="false"/>
          <w:color w:val="000000"/>
          <w:sz w:val="20"/>
        </w:rPr>
        <w:t>.</w:t>
      </w:r>
      <w:r>
        <w:rPr>
          <w:color w:val="00000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73685"/>
                <wp:effectExtent l="0" t="0" r="0" b="0"/>
                <wp:wrapNone/>
                <wp:docPr id="43" name="Frame4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490"/>
        <w:jc w:val="both"/>
        <w:rPr/>
      </w:pPr>
      <w:r>
        <w:rPr>
          <w:rFonts w:ascii="Times New Roman;serif" w:hAnsi="Times New Roman;serif"/>
          <w:b w:val="false"/>
          <w:color w:val="000000"/>
          <w:sz w:val="20"/>
          <w:shd w:fill="FFFFFF" w:val="clear"/>
        </w:rPr>
        <w:t>In addition, if we obtain regulatory approval for any product candidate for commercial sale,</w:t>
      </w:r>
      <w:r>
        <w:rPr>
          <w:color w:val="000000"/>
        </w:rPr>
        <w:t xml:space="preserve"> </w:t>
      </w:r>
      <w:r>
        <w:rPr>
          <w:rFonts w:ascii="Times New Roman;serif" w:hAnsi="Times New Roman;serif"/>
          <w:b w:val="false"/>
          <w:color w:val="000000"/>
          <w:sz w:val="20"/>
        </w:rPr>
        <w:t>including NGN-401</w:t>
      </w:r>
      <w:r>
        <w:rPr>
          <w:rFonts w:ascii="Times New Roman;serif" w:hAnsi="Times New Roman;serif"/>
          <w:b w:val="false"/>
          <w:color w:val="000000"/>
          <w:sz w:val="20"/>
          <w:shd w:fill="FFFFFF" w:val="clear"/>
        </w:rPr>
        <w:t>, we anticipate incurring significant commercialization expenses related to product manufacturing, marketing, sales and distribution activities to launch any such product. Our expenses could increase beyond expectations if we are required by the FDA or other regulatory agencies to perform preclinical studies or clinical trials in addition to those that we currently anticipate. Because the design and outcome of our current, planned and anticipated clinical trials are highly uncertain, we cannot reasonably estimate the actual amount of funding that will be necessary to successfully complete the development and commercialization of any product candidate we develop. Our future capital requirements depend on many factors, including factors that are not within our control.</w:t>
      </w:r>
    </w:p>
    <w:p>
      <w:pPr>
        <w:pStyle w:val="TextBody"/>
        <w:bidi w:val="0"/>
        <w:spacing w:lineRule="auto" w:line="288" w:before="200" w:after="283"/>
        <w:ind w:left="0" w:right="0" w:firstLine="490"/>
        <w:jc w:val="both"/>
        <w:rPr/>
      </w:pPr>
      <w:r>
        <w:rPr>
          <w:rFonts w:ascii="Times New Roman;serif" w:hAnsi="Times New Roman;serif"/>
          <w:b w:val="false"/>
          <w:color w:val="000000"/>
          <w:sz w:val="20"/>
          <w:shd w:fill="FFFFFF" w:val="clear"/>
        </w:rPr>
        <w:t>We have incurred and expect to continue to incur additional costs associated with operating as a public company, and we do not anticipate achieving any significant revenue in the near term given the development stage of our product candidates. Accordingly, we will require substantial additional funding to continue our operations.</w:t>
      </w:r>
      <w:r>
        <w:rPr>
          <w:color w:val="000000"/>
        </w:rPr>
        <w:t xml:space="preserve"> </w:t>
      </w:r>
      <w:r>
        <w:rPr>
          <w:rFonts w:ascii="Times New Roman;serif" w:hAnsi="Times New Roman;serif"/>
          <w:b w:val="false"/>
          <w:color w:val="000000"/>
          <w:sz w:val="20"/>
        </w:rPr>
        <w:t xml:space="preserve">Based on our current operating plan, we believe that our existing cash, cash equivalents and short-term investments should be sufficient to fund our operations into the first quarter of 2029. </w:t>
      </w:r>
      <w:r>
        <w:rPr>
          <w:rFonts w:ascii="Times New Roman;serif" w:hAnsi="Times New Roman;serif"/>
          <w:b w:val="false"/>
          <w:color w:val="000000"/>
          <w:sz w:val="20"/>
          <w:shd w:fill="FFFFFF" w:val="clear"/>
        </w:rPr>
        <w:t>This estimate is based on assumptions that may prove to be materially wrong, and we could deplete our available capital resources sooner than we currently expect. Our future capital requirements will depend on many factors, including:</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timing and progress of preclinical and clinical development activities, including any impact to our NGN-401 clinical trial activities relating to our participation in the FDA’s Support for clinical Trials Advancing Rare disease Therapeutics (“START”) program and the RMAT and Breakthrough Therapy designations for NGN-401;</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number and scope of preclinical and clinical programs we pursue to develop our gene therapy candidate pipeline and EXACT</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our ability to secure appropriate animal models for the conduct of investigational new drug (“IND”)-enabling studies in a timely and financially feasible manner, especially large animal models, such as non-human primates (“NHPs”) needed for toxicology studies;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our ability to establish an acceptable safety profile with IND-enabling toxicology studies to enable clinical trials;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successful patient enrollment in, and the initiation and completion of, larger and later-stage clinical trials;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number of subjects that participate in clinical trials and per subject trial costs;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number and extent of trials required for regulatory approval;</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countries in which the trials are conducted;</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length of time required to enroll eligible subjects in clinical trials;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drop-out and discontinuation rate of subjects;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potential additional safety monitoring requested by regulatory agencies;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duration of subject participation in the trials and follow-up;</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extent to which we encounter any serious adverse events in our clinical trials;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timing of receipt of regulatory approvals from applicable regulatory authorities, including those required to initiate clinical trials;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timing, receipt and terms of any marketing approvals and post-marketing approval commitments from applicable regulatory authorities;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extent to which we establish collaborations, strategic partnerships, or other strategic arrangements with third parties, if any, and the performance of any such third party;</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scale up of our clinical and regulatory capabilities, including establishing our current good manufacturing practices (“cGMP”) manufacturing capabilities to support expansion of our pipeline and future registration-enabling clinical trials, obtaining cGMP material for clinical trials or potential commercial sales, and performing Process Performance Qualification testing to demonstrate consistent quality in our manufacturing process;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hiring and retaining research, clinical, regulatory, manufacturing (including quality control and quality assurance) and administrative personnel;</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our arrangements with third-party contract development and manufacturing organizations (“CDMOs”) and contract research organizations (“CROs”);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outfitting and validation of our cGMP manufacturing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73685"/>
                <wp:effectExtent l="0" t="0" r="0" b="0"/>
                <wp:wrapNone/>
                <wp:docPr id="44" name="Frame4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impact of any business interruptions to our operations or to those of the third parties with whom we work; and</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obtaining, maintaining, defending and enforcing patent claims and other intellectual property rights.</w:t>
      </w:r>
    </w:p>
    <w:p>
      <w:pPr>
        <w:pStyle w:val="TextBody"/>
        <w:bidi w:val="0"/>
        <w:spacing w:lineRule="auto" w:line="288" w:before="200" w:after="283"/>
        <w:ind w:left="0" w:right="0" w:firstLine="490"/>
        <w:jc w:val="both"/>
        <w:rPr/>
      </w:pPr>
      <w:r>
        <w:rPr>
          <w:rFonts w:ascii="Times New Roman;serif" w:hAnsi="Times New Roman;serif"/>
          <w:b w:val="false"/>
          <w:color w:val="000000"/>
          <w:sz w:val="20"/>
          <w:shd w:fill="FFFFFF" w:val="clear"/>
        </w:rPr>
        <w:t xml:space="preserve">We do not have any committed external sources of funds. We have filed an S-3 Registration Statement for the sale of up to $300.0 million in any combination of our common stock, preferred stock, debt securities, warrants or units, and may conduct one or more sales of securities pursuant to such registration statement from time to time. On July 2, 2026, we closed an underwritten public offering of shares of our common stock and prefunded warrants to purchase our common stock registered under the shelf registration statement (the “July 2026 Offering”), resulting in proceeds of approximately $134.8 million after deducting underwriting discounts and commissions and other estimated offering expenses. We have also entered into an at the market (“ATM”) Sales Agreement (the “Sales Agreement”) with Leerink Partners LLC (“Leerink”), pursuant to which,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we have sold $37.1 million in shares of common stock, resulting in proceeds of $36.0 million after deducting sales commissions and other offering expenses. We may in the future, from time to time, offer and sell through Leerink up to an additional $112.9 million of the common stock registered under the shelf registration statement, pursuant to one or more “at the market” offerings. However, sales of our common stock under the Sales Agreement with Leerink are subject to business, economic or competitive uncertainties and contingencies, and adequate additional financing may not be available to us on acceptable terms, or at all. We may be required to or choose to seek additional funds sooner than planned through public or private equity offerings, debt financings, collaborations and licensing arrangements or other sources. Such financings may dilute our stockholders or the failure to obtain such financing may restrict our operating activities. Any additional fundraising efforts may divert our management from their day-to-day activities, which may adversely affect our business. To the extent that we raise additional capital through the sale of equity or convertible debt securities, existing stockholders ownership interest will be diluted, and the terms may include liquidation or other preferences and anti-dilution protections that adversely affect the rights of existing stockholders. Debt financing may result in imposition of debt covenants, increased fixed payment obligations or other restrictions that may affect our business. If we raise additional funds through upfront payments or milestone payments pursuant to future collaborations with third parties, we may have to relinquish valuable rights to product development programs, or grant licenses on terms that are not favorable to us. Additional capital may not be available in sufficient amounts or on reasonable terms, if at all. Our ability to raise additional capital may be adversely impacted by global macroeconomic conditions, including volatility in interest rates, escalating trade tensions and restrictions, tariffs, geopolitical instability, changes in government regulations and significant volatility in the credit and financial markets in the United States and worldwide, particularly in the biotechnology and biopharmaceutical industries, over which we may have no or little control. Our failure to raise capital as and when needed or on acceptable terms would have a negative impact on our financial condition and our ability to pursue our business strategy, and we may have to delay, reduce the scope of, suspend or eliminate clinical trials, product development programs or future commercialization efforts.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have incurred significant losses since inception, expect to incur significant losses for the foreseeable future and may not be able to achieve or sustain profitability in the future. We have no products for sale, have not generated any product revenue and may never generate product revenue or become profitable.</w:t>
      </w:r>
    </w:p>
    <w:p>
      <w:pPr>
        <w:pStyle w:val="TextBody"/>
        <w:bidi w:val="0"/>
        <w:spacing w:lineRule="auto" w:line="288" w:before="20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Investment in biotechnology product development is a highly speculative undertaking and entails substantial upfront expenditures and significant risks that any program will fail to demonstrate adequate efficacy or potency or an acceptable safety profile, gain regulatory approval and become commercially viable. We have no products approved for commercial sale, have not generated any revenue from product sales to date, and continue to incur significant research and development and other expenses related to our ongoing operations. We do not expect to generate product revenue unless or until we successfully complete clinical development and obtain regulatory approval of, and then successfully commercialize, at least one product candidate. We may never succeed in these activities and, even if we do, we may never generate product revenue or revenues that are significant or large enough to achieve profitability. If we are unable to generate sufficient revenue through the sale of any approved products, we may be unable to continue operations without additional funding.</w:t>
      </w:r>
    </w:p>
    <w:p>
      <w:pPr>
        <w:pStyle w:val="TextBody"/>
        <w:bidi w:val="0"/>
        <w:spacing w:lineRule="auto" w:line="288" w:before="200" w:after="283"/>
        <w:ind w:left="0" w:right="0" w:firstLine="490"/>
        <w:jc w:val="both"/>
        <w:rPr/>
      </w:pPr>
      <w:r>
        <w:rPr>
          <w:rFonts w:ascii="Times New Roman;serif" w:hAnsi="Times New Roman;serif"/>
          <w:b w:val="false"/>
          <w:color w:val="000000"/>
          <w:sz w:val="20"/>
          <w:shd w:fill="FFFFFF" w:val="clear"/>
        </w:rPr>
        <w:t xml:space="preserve">We have incurred significant net losses in each period since we commenced operations in 2018. Our net loss was </w:t>
      </w:r>
      <w:r>
        <w:rPr>
          <w:rFonts w:ascii="Times New Roman;serif" w:hAnsi="Times New Roman;serif"/>
          <w:b w:val="false"/>
          <w:color w:val="000000"/>
          <w:sz w:val="20"/>
        </w:rPr>
        <w:t>$65.4 million</w:t>
      </w:r>
      <w:r>
        <w:rPr>
          <w:color w:val="000000"/>
          <w:shd w:fill="FFFFFF" w:val="clear"/>
        </w:rPr>
        <w:t>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six months ended June 30, 2026 </w:t>
      </w:r>
      <w:r>
        <w:rPr>
          <w:rFonts w:ascii="Times New Roman;serif" w:hAnsi="Times New Roman;serif"/>
          <w:b w:val="false"/>
          <w:color w:val="000000"/>
          <w:sz w:val="20"/>
          <w:shd w:fill="FFFFFF" w:val="clear"/>
        </w:rPr>
        <w:t xml:space="preserve">and our cumulative net loss from inception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was </w:t>
      </w:r>
      <w:r>
        <w:rPr>
          <w:rFonts w:ascii="Times New Roman;serif" w:hAnsi="Times New Roman;serif"/>
          <w:b w:val="false"/>
          <w:color w:val="000000"/>
          <w:sz w:val="20"/>
        </w:rPr>
        <w:t>$418.1 million</w:t>
      </w:r>
      <w:r>
        <w:rPr>
          <w:rFonts w:ascii="Times New Roman;serif" w:hAnsi="Times New Roman;serif"/>
          <w:b w:val="false"/>
          <w:color w:val="000000"/>
          <w:sz w:val="20"/>
          <w:shd w:fill="FFFFFF" w:val="clear"/>
        </w:rPr>
        <w:t>. We expect to continue to incur significant losses for the foreseeable future. Our operating expenses and net losses may fluctuate significantly from quarter to quarter and year to year. We anticipate that our expenses will increase substantially if and as we:</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advance our existing and future programs through preclinical and clinical development, including expansion into additional indications;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seek to identify additional programs and additional product candidates;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continue to develop our gene therapy product candidate pipeline and our EXACT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73685"/>
                <wp:effectExtent l="0" t="0" r="0" b="0"/>
                <wp:wrapNone/>
                <wp:docPr id="45" name="Frame4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maintain, expand, enforce, defend and protect our intellectual property portfolio;</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seek regulatory and marketing approvals for product candidates;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seek to identify, establish and maintain additional collaborations and license agreements, including those which may enhance the biodistribution and delivery of our product candidates;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ultimately establish a sales, marketing and distribution infrastructure to commercialize any biological products for which we may obtain marketing approval, either by ourselves or in collaboration with others;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generate revenue from commercial sales of products for which we receive marketing approval;</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hire additional personnel, including research and development, clinical and commercial;</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add operational, financial and management information systems and personnel to support further expansion and operation as a public company;</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acquire or in-license products, intellectual property and technologies which may enhance our current technology; and</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establish commercial-scale cGMP capabilities through our own or third-party manufacturing facilities.</w:t>
      </w:r>
    </w:p>
    <w:p>
      <w:pPr>
        <w:pStyle w:val="TextBody"/>
        <w:bidi w:val="0"/>
        <w:spacing w:lineRule="auto" w:line="288" w:before="20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our expenses will increase if, among other things, we are required by the FDA or other regulatory authorities to perform trials or studies in addition to, or different than, those that we currently anticipate, there are any delays in completing our clinical trials or the development of any product candidates, or there are any third-party challenges to our intellectual property or we need to defend against any intellectual property-related claim.</w:t>
      </w:r>
    </w:p>
    <w:p>
      <w:pPr>
        <w:pStyle w:val="TextBody"/>
        <w:bidi w:val="0"/>
        <w:spacing w:lineRule="auto" w:line="288" w:before="20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Even if we obtain marketing approval for, and are successful in commercializing, one or more product candidates, we expect to incur substantial additional research and development and other expenditures to develop and market additional programs and/or to expand the approved indications of any marketed product. We may encounter unforeseen expenses, difficulties, complications, delays and other unknown factors that may adversely affect our business. The size of our future net losses will depend, in part, on the rate of future growth of our expenses and our ability to generate revenue.</w:t>
      </w:r>
    </w:p>
    <w:p>
      <w:pPr>
        <w:pStyle w:val="TextBody"/>
        <w:bidi w:val="0"/>
        <w:spacing w:lineRule="auto" w:line="288" w:before="20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failure to become profitable would decrease our value and could impair our ability to raise capital, maintain our research and development efforts, expand our business and/or continue our operations. A decline in our value could also cause you to lose all or part of your investment.</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Discovery, Development and Commercialization</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are substantially dependent on the success of our most advanced product candidate, NGN-401, and our clinical trial of NGN-401 may not be successful.</w:t>
      </w:r>
    </w:p>
    <w:p>
      <w:pPr>
        <w:pStyle w:val="TextBody"/>
        <w:bidi w:val="0"/>
        <w:spacing w:lineRule="auto" w:line="288" w:before="20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future success is substantially dependent on our ability to timely obtain marketing approval for, and then successfully commercialize, our most advanced product candidate, NGN-401. We are investing a majority of our efforts and financial resources into the research and development of this product candidate, as we are currently conducting a registrational clinical trial of NGN-401 in patients with Rett syndrome (our Embolden trial) and completed dosing patients in that trial in the second quarter of 2026. </w:t>
      </w:r>
    </w:p>
    <w:p>
      <w:pPr>
        <w:pStyle w:val="TextBody"/>
        <w:bidi w:val="0"/>
        <w:spacing w:lineRule="auto" w:line="288" w:before="20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NGN-401 will require additional clinical development, evaluation of clinical, preclinical and manufacturing activities, marketing approval in multiple jurisdictions, substantial investment and significant marketing efforts before we generate revenues from product sales, if any. We are not permitted to market or promote this product candidate, or any other product candidates we may develop, before we receive marketing approval from the FDA and/or comparable foreign regulatory authorities, and we may never receive such marketing approvals.</w:t>
      </w:r>
    </w:p>
    <w:p>
      <w:pPr>
        <w:pStyle w:val="TextBody"/>
        <w:bidi w:val="0"/>
        <w:spacing w:lineRule="auto" w:line="288" w:before="20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success of NGN-401 will depend on a variety of factors. 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we may work with. Accordingly, we cannot guarantee that we will ever be able to generate revenue through the sale of this product candidate, even if approved. If we are not successful in commercializing NGN-401, or are significantly delayed in doing so, our business will be materially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73685"/>
                <wp:effectExtent l="0" t="0" r="0" b="0"/>
                <wp:wrapNone/>
                <wp:docPr id="46" name="Frame4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We face competition from entities that have developed or may develop programs for the diseases we plan to address with NGN-401 and other product candidates in development.</w:t>
      </w:r>
    </w:p>
    <w:p>
      <w:pPr>
        <w:pStyle w:val="TextBody"/>
        <w:bidi w:val="0"/>
        <w:spacing w:lineRule="auto" w:line="288" w:before="2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development and commercialization of biological products is highly competitive. If approved, NGN-401 or any other product candidates we may develop will face significant competition and our failure to effectively compete may prevent us from achieving significant market penetration. We compete with a variety of multinational biopharmaceutical companies, specialized biotechnology companies and emerging biotechnology companies, as well as academic institutions, governmental agencies, and public and private research institutions, among others. Many of the companies with which we are currently competing or will compete against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New and emerging technologies for treatment of genetic diseases may create additional competitive pressures in our industry. These competitors also compete with us in recruiting and retaining qualified scientific and management personnel, establishing clinical trial sites and patient registration for clinical trials, as well as in acquiring technologies complementary to, or necessary for, NGN-401 and any other product candidates we may develop.</w:t>
      </w:r>
    </w:p>
    <w:p>
      <w:pPr>
        <w:pStyle w:val="TextBody"/>
        <w:bidi w:val="0"/>
        <w:spacing w:lineRule="auto" w:line="288" w:before="200" w:after="283"/>
        <w:ind w:left="0" w:right="0" w:firstLine="490"/>
        <w:jc w:val="both"/>
        <w:rPr/>
      </w:pPr>
      <w:r>
        <w:rPr>
          <w:rFonts w:ascii="Times New Roman;serif" w:hAnsi="Times New Roman;serif"/>
          <w:b w:val="false"/>
          <w:color w:val="000000"/>
          <w:sz w:val="20"/>
        </w:rPr>
        <w:t>As described in “</w:t>
      </w:r>
      <w:r>
        <w:rPr>
          <w:rFonts w:ascii="Times New Roman;serif" w:hAnsi="Times New Roman;serif"/>
          <w:b w:val="false"/>
          <w:i/>
          <w:color w:val="000000"/>
          <w:sz w:val="20"/>
        </w:rPr>
        <w:t>Business—Competition</w:t>
      </w:r>
      <w:r>
        <w:rPr>
          <w:color w:val="000000"/>
        </w:rPr>
        <w:t xml:space="preserve">” </w:t>
      </w:r>
      <w:r>
        <w:rPr>
          <w:rFonts w:ascii="Times New Roman;serif" w:hAnsi="Times New Roman;serif"/>
          <w:b w:val="false"/>
          <w:color w:val="000000"/>
          <w:sz w:val="20"/>
        </w:rPr>
        <w:t>in our Annual Report on Form 10-K, our competitors have developed, are developing or may develop programs or clinical-stage products competitive with NGN-401 or our other earlier stage product candidates. Competitive therapeutic treatments include those that have already been approved and accepted by the medical community for Rett syndrome and any new treatments for Rett syndrome. Our success will depend partially on our ability to develop and commercialize products that have a competitive safety, efficacy or potency, dosing and/or presentation profile. Our commercial opportunity and success will be reduced or eliminated if competing products are safer, more effective or potent, have a more attractive or less invasive dosing profile or presentation or are less expensive than any products we may develop, or if competitors develop competing products that enter the market more quickly than we are able to, if we are able to at all, and are able to gain market acceptance.</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NGN-401 is in clinical development and our preclinical programs are in early stages of development and may fail in development or suffer delays that materially and adversely affect their commercial viability. If we are unable to complete development of, or commercialize, our product candidates, or experience significant delays in doing so, our business will be materially harmed.</w:t>
      </w:r>
    </w:p>
    <w:p>
      <w:pPr>
        <w:pStyle w:val="TextBody"/>
        <w:bidi w:val="0"/>
        <w:spacing w:lineRule="auto" w:line="288" w:before="2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We have no products on the market and while we have completed dosing in our Phase 1/2 clinical trial of NGN-401 and our Embolden trial, NGN-401 is still in the clinical development stage. In addition, we have disclosed that unless we are able to find an alternative pathway for advancement, we will need to discontinue our NGN-101 program following the denial of RMAT designation for NGN-101 by the FDA, which would preclude a streamlined path to regulatory approval. </w:t>
      </w:r>
    </w:p>
    <w:p>
      <w:pPr>
        <w:pStyle w:val="TextBody"/>
        <w:bidi w:val="0"/>
        <w:spacing w:lineRule="auto" w:line="288" w:before="2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Our other programs are in early stages of preclinical development, and we expect to expend the majority of our resources on our Rett program for the near future, which may delay the development plans for our pipeline. As a result, we expect it will be several years before we commercialize our product candidates and ultimately may not be successful in commercializing any of our product candidates. Our ability to achieve and sustain profitability depends on obtaining regulatory approvals for, and successfully commercializing, our lead product candidate NGN-401 or other product candidates, either alone or with third parties, and we cannot guarantee that we will ever obtain regulatory approval for any product candidates we may develop. </w:t>
      </w:r>
    </w:p>
    <w:p>
      <w:pPr>
        <w:pStyle w:val="TextBody"/>
        <w:bidi w:val="0"/>
        <w:spacing w:lineRule="auto" w:line="288" w:before="200" w:after="283"/>
        <w:ind w:left="0" w:right="0" w:firstLine="490"/>
        <w:jc w:val="both"/>
        <w:rPr/>
      </w:pPr>
      <w:r>
        <w:rPr>
          <w:rFonts w:ascii="Times New Roman;serif" w:hAnsi="Times New Roman;serif"/>
          <w:b w:val="false"/>
          <w:color w:val="000000"/>
          <w:sz w:val="20"/>
          <w:shd w:fill="FFFFFF" w:val="clear"/>
        </w:rPr>
        <w:t xml:space="preserve">We have limited experience as a company in conducting and managing the clinical trials necessary to obtain regulatory approvals, </w:t>
      </w:r>
      <w:r>
        <w:rPr>
          <w:rFonts w:ascii="Times New Roman;serif" w:hAnsi="Times New Roman;serif"/>
          <w:b w:val="false"/>
          <w:color w:val="000000"/>
          <w:sz w:val="20"/>
        </w:rPr>
        <w:t>including</w:t>
      </w:r>
      <w:r>
        <w:rPr>
          <w:color w:val="000000"/>
          <w:shd w:fill="FFFFFF" w:val="clear"/>
        </w:rPr>
        <w:t xml:space="preserve"> </w:t>
      </w:r>
      <w:r>
        <w:rPr>
          <w:rFonts w:ascii="Times New Roman;serif" w:hAnsi="Times New Roman;serif"/>
          <w:b w:val="false"/>
          <w:color w:val="000000"/>
          <w:sz w:val="20"/>
          <w:shd w:fill="FFFFFF" w:val="clear"/>
        </w:rPr>
        <w:t>approval by the FDA or comparable foreign regulatory authorities. We have not yet demonstrated our ability to obtain regulatory approvals, manufacture a commercial scale product or arrange for a third party to do so on our behalf, or conduct sales and marketing activities necessary for successful product commercialization. Before obtaining regulatory approval for the commercial distribution of product candidates, we or an existing or future collaborator must conduct extensive preclinical tests and clinical trials to demonstrate the safety, purity and efficacy or potency in humans of such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73685"/>
                <wp:effectExtent l="0" t="0" r="0" b="0"/>
                <wp:wrapNone/>
                <wp:docPr id="47" name="Frame4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490"/>
        <w:jc w:val="both"/>
        <w:rPr/>
      </w:pPr>
      <w:r>
        <w:rPr>
          <w:rFonts w:ascii="Times New Roman;serif" w:hAnsi="Times New Roman;serif"/>
          <w:b w:val="false"/>
          <w:color w:val="000000"/>
          <w:sz w:val="20"/>
        </w:rPr>
        <w:t xml:space="preserve">Following denial by the FDA of our RMAT application for NGN-101 for CLN5 Batten disease in November 2024, we disclosed that we do not expect to move forward with that program at this time. Given the rarity of the disease, continued investment in the program was predicated on alignment on a streamlined registrational pathway with the FDA. Despite our belief that we met the standard of preliminary clinical evidence required to obtain an RMAT designation, the RMAT application was denied. </w:t>
      </w:r>
      <w:r>
        <w:rPr>
          <w:rFonts w:ascii="Times New Roman;serif" w:hAnsi="Times New Roman;serif"/>
          <w:b w:val="false"/>
          <w:color w:val="000000"/>
          <w:sz w:val="20"/>
          <w:shd w:fill="FFFFFF" w:val="clear"/>
        </w:rPr>
        <w:t>Similar challenges may prevent our success with or increase the cost of other current, planned or future clinical trials. We or our collaborators may experience delays in initiating or completing clinical trials, and also may experience unforeseen events during, or as a result of, any current or future clinical trials that could delay or prevent our ability to receive marketing approval or commercialize NGN-401 or any other product candidates, including:</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regulators or institutional review boards (“IRBs”), the FDA or ethics committees may not authorize us or our investigators to commence a clinical trial or conduct a clinical trial at a prospective trial site;</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we may experience delays in reaching, or may fail to reach, agreement on acceptable terms with prospective trial sites and prospective CROs, the terms of which can be subject to extensive negotiation and may vary significantly among different CROs and trial sites;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observation of an actual or suspected unexpected serious adverse reaction, serious adverse events, or adverse events of special interest could result in a partial or complete clinical hold for an unpredictable length of time, delay or halt future enrollment, require increased staggering between patient dosing, require dose reductions that could adversely affect the anticipated efficacy or potency product profile, or require a program discontinuation;</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clinical trial sites may fail to meet enrollment targets, may deviate from trial protocol, or may experience patients dropping out of a trial;</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clinical trials of any product candidates may fail to show safety, efficacy or potency, or may produce negative or inconclusive results, and we may decide, or regulators may require us, to conduct additional preclinical studies or clinical trials or we may decide to abandon product development programs;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number of subjects required for clinical trials of any of our product candidates may be larger than we anticipate, especially if the effect size observed in future clinical data from a Phase 1/2 clinical trial is small or is difficult to ascertain relative to natural history as a comparator, or if regulatory authorities require completion of a sham-controlled clinical trial;</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enrollment in clinical trials may be slower than we anticipate or subjects may drop out of clinical trials or fail to return for post-treatment follow-up at a higher rate than we anticipate;</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we may elect to, or regulators, independent data and safety monitoring boards (“DSMBs”), IRBs or ethics committees may require that we or our investigators suspend or terminate clinical research or trials, or delay further recruitment, enrollment or dosing of subjects in clinical trials or specific trial sites, for various reasons, including noncompliance with regulatory requirements, internal processes or protocols of the relevant review body, a finding that the participants in our trials are being exposed to unacceptable health risks, or any other development that may impact the benefit-risk assessment of our product candidates;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cost of clinical trials of any of our product candidates may be greater than we anticipate;</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quality of our product candidates or other materials necessary to conduct clinical trials of our product candidates may be inadequate to initiate or complete a given clinical trial;</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we may be unable to manufacture sufficient quantities at adequate scales of our product candidates for use in clinical trials;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reports from clinical testing of other therapies may raise safety, efficacy or potency concerns about our product candidates;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we may fail to establish an appropriate safety profile for a product candidate based on clinical or preclinical data for such product candidate and data emerging from other therapies in the same class as our product candidates; and</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FDA or other regulatory authorities may require us to submit additional data, such as long-term toxicology studies, or impose other requirements before permitting us to initiate a clinical trial.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73685"/>
                <wp:effectExtent l="0" t="0" r="0" b="0"/>
                <wp:wrapNone/>
                <wp:docPr id="48" name="Frame4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450"/>
        <w:jc w:val="both"/>
        <w:rPr/>
      </w:pPr>
      <w:r>
        <w:rPr>
          <w:rFonts w:ascii="Times New Roman;serif" w:hAnsi="Times New Roman;serif"/>
          <w:b w:val="false"/>
          <w:color w:val="000000"/>
          <w:sz w:val="20"/>
        </w:rPr>
        <w:t xml:space="preserve">If safety concerns develop with respect to our product candidates or clinical trial designs, we may be delayed in our development plans as </w:t>
      </w:r>
      <w:r>
        <w:rPr>
          <w:rFonts w:ascii="Times New Roman;serif" w:hAnsi="Times New Roman;serif"/>
          <w:b w:val="false"/>
          <w:color w:val="000000"/>
          <w:sz w:val="20"/>
          <w:shd w:fill="FFFFFF" w:val="clear"/>
        </w:rPr>
        <w:t>we</w:t>
      </w:r>
      <w:r>
        <w:rPr>
          <w:color w:val="000000"/>
        </w:rPr>
        <w:t xml:space="preserve"> </w:t>
      </w:r>
      <w:r>
        <w:rPr>
          <w:rFonts w:ascii="Times New Roman;serif" w:hAnsi="Times New Roman;serif"/>
          <w:b w:val="false"/>
          <w:color w:val="000000"/>
          <w:sz w:val="20"/>
        </w:rPr>
        <w:t xml:space="preserve">may need to pause our enrollment in a clinical trial, revise our trial designs, investigate potential safety developments, or take other measures that may increase the amount of time and resources required to bring our product candidates forward. For example, in </w:t>
      </w:r>
      <w:r>
        <w:rPr>
          <w:rFonts w:ascii="Times New Roman;serif" w:hAnsi="Times New Roman;serif"/>
          <w:b w:val="false"/>
          <w:color w:val="000000"/>
          <w:sz w:val="20"/>
          <w:shd w:fill="FFFFFF" w:val="clear"/>
        </w:rPr>
        <w:t>November</w:t>
      </w:r>
      <w:r>
        <w:rPr>
          <w:color w:val="000000"/>
        </w:rPr>
        <w:t xml:space="preserve"> </w:t>
      </w:r>
      <w:r>
        <w:rPr>
          <w:rFonts w:ascii="Times New Roman;serif" w:hAnsi="Times New Roman;serif"/>
          <w:b w:val="false"/>
          <w:color w:val="000000"/>
          <w:sz w:val="20"/>
        </w:rPr>
        <w:t xml:space="preserve">2024, following a </w:t>
      </w:r>
      <w:r>
        <w:rPr>
          <w:rFonts w:ascii="Times New Roman;serif" w:hAnsi="Times New Roman;serif"/>
          <w:b w:val="false"/>
          <w:color w:val="000000"/>
          <w:sz w:val="20"/>
          <w:shd w:fill="FFFFFF" w:val="clear"/>
        </w:rPr>
        <w:t xml:space="preserve">severe adverse event (“SAE”) that resulted in a fatality </w:t>
      </w:r>
      <w:r>
        <w:rPr>
          <w:rFonts w:ascii="Times New Roman;serif" w:hAnsi="Times New Roman;serif"/>
          <w:b w:val="false"/>
          <w:color w:val="000000"/>
          <w:sz w:val="20"/>
        </w:rPr>
        <w:t xml:space="preserve">in the 3E15 vg </w:t>
      </w:r>
      <w:r>
        <w:rPr>
          <w:rFonts w:ascii="Times New Roman;serif" w:hAnsi="Times New Roman;serif"/>
          <w:b w:val="false"/>
          <w:color w:val="000000"/>
          <w:sz w:val="20"/>
          <w:shd w:fill="FFFFFF" w:val="clear"/>
        </w:rPr>
        <w:t>dose</w:t>
      </w:r>
      <w:r>
        <w:rPr>
          <w:color w:val="000000"/>
        </w:rPr>
        <w:t xml:space="preserve"> </w:t>
      </w:r>
      <w:r>
        <w:rPr>
          <w:rFonts w:ascii="Times New Roman;serif" w:hAnsi="Times New Roman;serif"/>
          <w:b w:val="false"/>
          <w:color w:val="000000"/>
          <w:sz w:val="20"/>
        </w:rPr>
        <w:t>of our Phase 1/2 clinical trial of NGN-401 for the treatment of Rett syndrome, we elected to initially pause further use of the 3E15 vg dose and subsequently made the determination to remove that dose and also paused enrollment until such time as we could update our trial protocol to remove the 3E15vg dose and add additional safety monitoring protocols, which we subsequently did.</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Commencing clinical trials in the United States is subject to acceptance by the FDA of an IND or, if commenced in other jurisdictions, acceptance by the comparable foreign regulatory agency of a similar application, as well as finalizing the trial design. In the event that the FDA or applicable foreign regulatory agency requires us to complete additional preclinical studies, or we are required to satisfy other regulatory requests prior to commencing clinical trials, the start of our clinical trials may be </w:t>
      </w:r>
      <w:r>
        <w:rPr>
          <w:rFonts w:ascii="Times New Roman;serif" w:hAnsi="Times New Roman;serif"/>
          <w:b w:val="false"/>
          <w:color w:val="000000"/>
          <w:sz w:val="20"/>
        </w:rPr>
        <w:t>delayed</w:t>
      </w:r>
      <w:r>
        <w:rPr>
          <w:rFonts w:ascii="Times New Roman;serif" w:hAnsi="Times New Roman;serif"/>
          <w:b w:val="false"/>
          <w:color w:val="000000"/>
          <w:sz w:val="20"/>
          <w:shd w:fill="FFFFFF" w:val="clear"/>
        </w:rPr>
        <w:t>. Even after we receive and incorporate guidance from these regulatory authorities, the FDA or other regulatory authorities could disagree that we have satisfied their requirements to commence any clinical trial or change their position on the acceptability of our trial design or the clinical endpoints selected, which may require us to complete additional preclinical studies or clinical trials, delay the enrollment of our clinical trials or impose stricter approval conditions than we currently expect. There are equivalent processes and risks applicable to clinical trial applications in other jurisdictions, including the United Kingdom (“UK”), Australia and the European Union (“EU”).</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We may not have the financial resources to continue development of, or to modify existing collaborations or enter into new </w:t>
      </w:r>
      <w:r>
        <w:rPr>
          <w:rFonts w:ascii="Times New Roman;serif" w:hAnsi="Times New Roman;serif"/>
          <w:b w:val="false"/>
          <w:color w:val="000000"/>
          <w:sz w:val="20"/>
        </w:rPr>
        <w:t>collaborations</w:t>
      </w:r>
      <w:r>
        <w:rPr>
          <w:color w:val="000000"/>
          <w:shd w:fill="FFFFFF" w:val="clear"/>
        </w:rPr>
        <w:t xml:space="preserve"> </w:t>
      </w:r>
      <w:r>
        <w:rPr>
          <w:rFonts w:ascii="Times New Roman;serif" w:hAnsi="Times New Roman;serif"/>
          <w:b w:val="false"/>
          <w:color w:val="000000"/>
          <w:sz w:val="20"/>
          <w:shd w:fill="FFFFFF" w:val="clear"/>
        </w:rPr>
        <w:t>for, a product candidate if we experience any issues that delay or prevent regulatory approval of, or our ability to commercialize, NGN-401 or any other product candidates we are developing or may develop in the future. We or our current or future collaborators’ inability to complete development of, or commercialize, NGN-401 or any other product candidates or significant delays in doing so, could have a material and adverse effect on our business, financial condition, results of operations and prospects.</w:t>
      </w:r>
    </w:p>
    <w:p>
      <w:pPr>
        <w:pStyle w:val="TextBody"/>
        <w:bidi w:val="0"/>
        <w:spacing w:lineRule="auto" w:line="288" w:before="240" w:after="283"/>
        <w:ind w:left="0" w:right="0" w:firstLine="360"/>
        <w:jc w:val="both"/>
        <w:rPr/>
      </w:pPr>
      <w:r>
        <w:rPr>
          <w:rFonts w:ascii="Times New Roman;serif" w:hAnsi="Times New Roman;serif"/>
          <w:b/>
          <w:i/>
          <w:color w:val="000000"/>
          <w:sz w:val="20"/>
          <w:shd w:fill="FFFFFF" w:val="clear"/>
        </w:rPr>
        <w:t xml:space="preserve">We currently utilize adeno-associated virus serotype 9 (“AAV9”) capsid for delivery of therapeutic transgenes to deliver our product </w:t>
      </w:r>
      <w:r>
        <w:rPr>
          <w:rFonts w:ascii="Times New Roman;serif" w:hAnsi="Times New Roman;serif"/>
          <w:b/>
          <w:i/>
          <w:color w:val="000000"/>
          <w:sz w:val="20"/>
        </w:rPr>
        <w:t>candidates</w:t>
      </w:r>
      <w:r>
        <w:rPr>
          <w:rFonts w:ascii="Times New Roman;serif" w:hAnsi="Times New Roman;serif"/>
          <w:b/>
          <w:i/>
          <w:color w:val="000000"/>
          <w:sz w:val="20"/>
          <w:shd w:fill="FFFFFF" w:val="clear"/>
        </w:rPr>
        <w:t>, which may limit the safety, purity, and efficacy or potency of such product candidates.</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Our current approach is to identify, develop and commercialize gene therapy product candidates using an AAV9 capsid for delivery of </w:t>
      </w:r>
      <w:r>
        <w:rPr>
          <w:rFonts w:ascii="Times New Roman;serif" w:hAnsi="Times New Roman;serif"/>
          <w:b w:val="false"/>
          <w:color w:val="000000"/>
          <w:sz w:val="20"/>
        </w:rPr>
        <w:t>therapeutic</w:t>
      </w:r>
      <w:r>
        <w:rPr>
          <w:color w:val="000000"/>
          <w:shd w:fill="FFFFFF" w:val="clear"/>
        </w:rPr>
        <w:t xml:space="preserve"> </w:t>
      </w:r>
      <w:r>
        <w:rPr>
          <w:rFonts w:ascii="Times New Roman;serif" w:hAnsi="Times New Roman;serif"/>
          <w:b w:val="false"/>
          <w:color w:val="000000"/>
          <w:sz w:val="20"/>
          <w:shd w:fill="FFFFFF" w:val="clear"/>
        </w:rPr>
        <w:t>transgenes to certain kinds of cells.</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Although AAV9 has been tested in numerous clinical trials and is an approved serotype for at least one gene therapy product, we cannot be </w:t>
      </w:r>
      <w:r>
        <w:rPr>
          <w:rFonts w:ascii="Times New Roman;serif" w:hAnsi="Times New Roman;serif"/>
          <w:b w:val="false"/>
          <w:color w:val="000000"/>
          <w:sz w:val="20"/>
        </w:rPr>
        <w:t>certain</w:t>
      </w:r>
      <w:r>
        <w:rPr>
          <w:color w:val="000000"/>
          <w:shd w:fill="FFFFFF" w:val="clear"/>
        </w:rPr>
        <w:t xml:space="preserve"> </w:t>
      </w:r>
      <w:r>
        <w:rPr>
          <w:rFonts w:ascii="Times New Roman;serif" w:hAnsi="Times New Roman;serif"/>
          <w:b w:val="false"/>
          <w:color w:val="000000"/>
          <w:sz w:val="20"/>
          <w:shd w:fill="FFFFFF" w:val="clear"/>
        </w:rPr>
        <w:t>that our AAV9 product candidates will successfully advance through preclinical studies and clinical trials, or that they will not cause significant adverse events or toxicities. For more information, please refer to the risk factor below titled “</w:t>
      </w:r>
      <w:r>
        <w:rPr>
          <w:rFonts w:ascii="Times New Roman;serif" w:hAnsi="Times New Roman;serif"/>
          <w:b w:val="false"/>
          <w:i/>
          <w:color w:val="000000"/>
          <w:sz w:val="20"/>
          <w:shd w:fill="FFFFFF" w:val="clear"/>
        </w:rPr>
        <w:t>Participants in our clinical trials may experience undesirable side effects, which could cause delays or prevent regulatory approval of our product candidates, limit the commercial potential or create significant negative consequences to our development plans, even if such side effects are ultimately determined not to be attributable or possibly attributable to our product candidates</w:t>
      </w:r>
      <w:r>
        <w:rPr>
          <w:color w:val="000000"/>
          <w:shd w:fill="FFFFFF" w:val="clear"/>
        </w:rPr>
        <w:t>”</w:t>
      </w:r>
      <w:r>
        <w:rPr>
          <w:rFonts w:ascii="Times New Roman;serif" w:hAnsi="Times New Roman;serif"/>
          <w:b w:val="false"/>
          <w:color w:val="000000"/>
          <w:sz w:val="20"/>
          <w:shd w:fill="FFFFFF" w:val="clear"/>
        </w:rPr>
        <w:t xml:space="preserve">. </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November</w:t>
      </w:r>
      <w:r>
        <w:rPr>
          <w:color w:val="000000"/>
          <w:shd w:fill="FFFFFF" w:val="clear"/>
        </w:rPr>
        <w:t xml:space="preserve"> </w:t>
      </w:r>
      <w:r>
        <w:rPr>
          <w:rFonts w:ascii="Times New Roman;serif" w:hAnsi="Times New Roman;serif"/>
          <w:b w:val="false"/>
          <w:color w:val="000000"/>
          <w:sz w:val="20"/>
          <w:shd w:fill="FFFFFF" w:val="clear"/>
        </w:rPr>
        <w:t>2024, a participant who had been recently dosed at the 3E15 vg dose of NGN-401 in our Phase 1/2 clinical trial of NGN-401 for the treatment of Rett syndrome experienced an SAE consistent with known risks of AAV gene therapy and u</w:t>
      </w:r>
      <w:r>
        <w:rPr>
          <w:rFonts w:ascii="Times New Roman;serif" w:hAnsi="Times New Roman;serif"/>
          <w:b w:val="false"/>
          <w:color w:val="000000"/>
          <w:sz w:val="20"/>
        </w:rPr>
        <w:t>l</w:t>
      </w:r>
      <w:r>
        <w:rPr>
          <w:rFonts w:ascii="Times New Roman;serif" w:hAnsi="Times New Roman;serif"/>
          <w:b w:val="false"/>
          <w:color w:val="000000"/>
          <w:sz w:val="20"/>
          <w:shd w:fill="FFFFFF" w:val="clear"/>
        </w:rPr>
        <w:t xml:space="preserve">timately died from this complication. While this reaction was very rare, we cannot ensure that other SAEs related to the use of AAV9 will not occur, or that we will not experience delays or other negative impacts to our clinical trial related to this or other AAV-related SAEs. We also cannot be certain that we will be able to avoid triggering toxicities in our future preclinical studies or clinical trials or that our chosen routes of administration to deliver such therapies will not cause unforeseen side effects or other challenges. Although AAV9 has been shown to facilitate biodistribution and cell transduction to the central nervous system (“CNS”), the potentially limited levels of AAV9 transduction of cells in the CNS may also limit the potential efficacy or potency of any of our product candidates, including NGN-401.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73685"/>
                <wp:effectExtent l="0" t="0" r="0" b="0"/>
                <wp:wrapNone/>
                <wp:docPr id="49" name="Frame4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pPr>
      <w:r>
        <w:rPr>
          <w:rFonts w:ascii="Times New Roman;serif" w:hAnsi="Times New Roman;serif"/>
          <w:b/>
          <w:i/>
          <w:color w:val="000000"/>
          <w:sz w:val="20"/>
        </w:rPr>
        <w:t xml:space="preserve">Participants in our clinical trials may experience undesirable side effects, which could cause delays or prevent regulatory approval of our product </w:t>
      </w:r>
      <w:r>
        <w:rPr>
          <w:rFonts w:ascii="Times New Roman;serif" w:hAnsi="Times New Roman;serif"/>
          <w:b/>
          <w:i/>
          <w:color w:val="000000"/>
          <w:sz w:val="20"/>
          <w:shd w:fill="FFFFFF" w:val="clear"/>
        </w:rPr>
        <w:t>candidates</w:t>
      </w:r>
      <w:r>
        <w:rPr>
          <w:rFonts w:ascii="Times New Roman;serif" w:hAnsi="Times New Roman;serif"/>
          <w:b/>
          <w:i/>
          <w:color w:val="000000"/>
          <w:sz w:val="20"/>
        </w:rPr>
        <w:t>, limit the commercial potential or create significant negative consequences to our development plans, even if such side effects are ultimately determined not to be attributable or possibly attributable to our product candidates.</w:t>
      </w:r>
      <w:r>
        <w:rPr>
          <w:color w:val="000000"/>
        </w:rPr>
        <w:t xml:space="preserve"> </w:t>
      </w:r>
    </w:p>
    <w:p>
      <w:pPr>
        <w:pStyle w:val="TextBody"/>
        <w:bidi w:val="0"/>
        <w:spacing w:lineRule="auto" w:line="288" w:before="200" w:after="283"/>
        <w:ind w:left="0" w:right="0" w:firstLine="450"/>
        <w:jc w:val="both"/>
        <w:rPr/>
      </w:pPr>
      <w:r>
        <w:rPr>
          <w:rFonts w:ascii="Times New Roman;serif" w:hAnsi="Times New Roman;serif"/>
          <w:b w:val="false"/>
          <w:color w:val="000000"/>
          <w:sz w:val="20"/>
        </w:rPr>
        <w:t xml:space="preserve">Our primary product candidates, including NGN-401 for the treatment of Rett syndrome, are AAV-based gene therapies. AAV-based gene therapies in development or approved for use carry a risk of certain adverse side effects, known and unknown, including the potential for inflammatory events such as heightened innate or adaptive immune reactions in response to the presence of the AAV vector, including the development of a T-cell and/or B-cell immune response, complement system activation, thrombotic microangiopathy, thrombocytopenia, toxicity due to damage of the dorsal root ganglia, loss of nerve conductivity with or without the diminishment or loss of reflexes and sensory symptoms, increased liver enzymes and </w:t>
      </w:r>
      <w:r>
        <w:rPr>
          <w:rFonts w:ascii="Times New Roman;serif" w:hAnsi="Times New Roman;serif"/>
          <w:b w:val="false"/>
          <w:color w:val="000000"/>
          <w:sz w:val="20"/>
          <w:shd w:fill="FFFFFF" w:val="clear"/>
        </w:rPr>
        <w:t>liver</w:t>
      </w:r>
      <w:r>
        <w:rPr>
          <w:color w:val="000000"/>
        </w:rPr>
        <w:t xml:space="preserve"> </w:t>
      </w:r>
      <w:r>
        <w:rPr>
          <w:rFonts w:ascii="Times New Roman;serif" w:hAnsi="Times New Roman;serif"/>
          <w:b w:val="false"/>
          <w:color w:val="000000"/>
          <w:sz w:val="20"/>
        </w:rPr>
        <w:t>toxicity, organ damage to kidneys or the heart, vector integration that may result in cancerous cell development, or in rare cases, death. In addition, some participants in our AAV-based gene therapy clinical trials may have pre-existing conditions, such as diminished lean muscle mass, impaired function of biological systems or vital organs, or recent viral infections, or complications relating to their genetic makeup, and, as such, those participants may present a different risk profile and may have an increased potential for serious adverse events such as a heightened immune response, the re-activation of a viral infection due to immunosuppression measures that are taken in conjunction with administration of AAV-based gene therapy, or a diminished capacity to withstand treatment-related side effects that might be mild if they were to present in another participant. Because of the novel nature of gene therapy in general and specifically AAV-based gene therapy, not all side effects may have been discovered, and we may not be able to identify all of the increased risk factors for our participants, and additional unexpected serious adverse events may occur as a result. In addition, due to components of our product candidates used to carry the genetic materials, it is possible that some participants could develop delayed side effects from treatment. There can also be significant variability in how patients respond to gene therapy, especially in a mosaic disease presentation like Rett syndrome in females where some of the cells carry a correct copy of the DNA sequence for the impacted gene while other cells have a mutated variant. As a result, some patients may not respond as well to gene therapy as others.</w:t>
      </w:r>
    </w:p>
    <w:p>
      <w:pPr>
        <w:pStyle w:val="TextBody"/>
        <w:bidi w:val="0"/>
        <w:spacing w:lineRule="auto" w:line="288" w:before="200" w:after="283"/>
        <w:ind w:left="0" w:right="0" w:firstLine="450"/>
        <w:jc w:val="both"/>
        <w:rPr/>
      </w:pPr>
      <w:r>
        <w:rPr>
          <w:rFonts w:ascii="Times New Roman;serif" w:hAnsi="Times New Roman;serif"/>
          <w:b w:val="false"/>
          <w:color w:val="000000"/>
          <w:sz w:val="20"/>
        </w:rPr>
        <w:t xml:space="preserve">Serious adverse events related to our trial or to other clinical trials using AAV-based gene therapy, even if those other trials are not related to our product candidates or targeted disease states, and even if such adverse events are not ultimately attributable to the </w:t>
      </w:r>
      <w:r>
        <w:rPr>
          <w:rFonts w:ascii="Times New Roman;serif" w:hAnsi="Times New Roman;serif"/>
          <w:b w:val="false"/>
          <w:color w:val="000000"/>
          <w:sz w:val="20"/>
          <w:shd w:fill="FFFFFF" w:val="clear"/>
        </w:rPr>
        <w:t>relevant</w:t>
      </w:r>
      <w:r>
        <w:rPr>
          <w:color w:val="000000"/>
        </w:rPr>
        <w:t xml:space="preserve"> </w:t>
      </w:r>
      <w:r>
        <w:rPr>
          <w:rFonts w:ascii="Times New Roman;serif" w:hAnsi="Times New Roman;serif"/>
          <w:b w:val="false"/>
          <w:color w:val="000000"/>
          <w:sz w:val="20"/>
        </w:rPr>
        <w:t xml:space="preserve">product candidates or products, may result in unfavorable public sentiment about our clinical trial and our product candidates, increased government regulation, potential regulatory delays for approval of our product candidates, stricter labeling requirements, the imposition of additional monitoring of our products if they are approved, challenges in enrolling patients in our clinical trials and a decrease in demand for our product candidates. </w:t>
      </w:r>
    </w:p>
    <w:p>
      <w:pPr>
        <w:pStyle w:val="TextBody"/>
        <w:bidi w:val="0"/>
        <w:spacing w:lineRule="auto" w:line="288" w:before="200" w:after="283"/>
        <w:ind w:left="0" w:right="0" w:firstLine="450"/>
        <w:jc w:val="both"/>
        <w:rPr/>
      </w:pPr>
      <w:r>
        <w:rPr>
          <w:rFonts w:ascii="Times New Roman;serif" w:hAnsi="Times New Roman;serif"/>
          <w:b w:val="false"/>
          <w:color w:val="000000"/>
          <w:sz w:val="20"/>
        </w:rPr>
        <w:t xml:space="preserve">If our product candidates are believed to be or shown to be associated with side effects that significantly alter the benefit-risk </w:t>
      </w:r>
      <w:r>
        <w:rPr>
          <w:rFonts w:ascii="Times New Roman;serif" w:hAnsi="Times New Roman;serif"/>
          <w:b w:val="false"/>
          <w:color w:val="000000"/>
          <w:sz w:val="20"/>
          <w:shd w:fill="FFFFFF" w:val="clear"/>
        </w:rPr>
        <w:t>determination</w:t>
      </w:r>
      <w:r>
        <w:rPr>
          <w:color w:val="000000"/>
        </w:rPr>
        <w:t xml:space="preserve"> </w:t>
      </w:r>
      <w:r>
        <w:rPr>
          <w:rFonts w:ascii="Times New Roman;serif" w:hAnsi="Times New Roman;serif"/>
          <w:b w:val="false"/>
          <w:color w:val="000000"/>
          <w:sz w:val="20"/>
        </w:rPr>
        <w:t xml:space="preserve">of any of our product candidates, we may not be able to continue development of that product candidate. Some product candidates that have shown positive safety results in early clinical testing have later been found to cause side effects that required the abandonment of further development of that product candidate. We may also be required to delay or slow the development of a particular product candidate if there are side effects whose cause is unclear or uncertain in order to further understand the nature of such side effects, which could materially impact our plans for development and financial position. </w:t>
      </w:r>
    </w:p>
    <w:p>
      <w:pPr>
        <w:pStyle w:val="TextBody"/>
        <w:bidi w:val="0"/>
        <w:spacing w:lineRule="auto" w:line="288" w:before="20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intend to identify and develop novel gene therapy product candidates, which makes it difficult to predict the time, cost and potential success of product candidate development.</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We have </w:t>
      </w:r>
      <w:r>
        <w:rPr>
          <w:rFonts w:ascii="Times New Roman;serif" w:hAnsi="Times New Roman;serif"/>
          <w:b w:val="false"/>
          <w:color w:val="000000"/>
          <w:sz w:val="20"/>
        </w:rPr>
        <w:t>invested</w:t>
      </w:r>
      <w:r>
        <w:rPr>
          <w:color w:val="000000"/>
          <w:shd w:fill="FFFFFF" w:val="clear"/>
        </w:rPr>
        <w:t xml:space="preserve"> </w:t>
      </w:r>
      <w:r>
        <w:rPr>
          <w:rFonts w:ascii="Times New Roman;serif" w:hAnsi="Times New Roman;serif"/>
          <w:b w:val="false"/>
          <w:color w:val="000000"/>
          <w:sz w:val="20"/>
          <w:shd w:fill="FFFFFF" w:val="clear"/>
        </w:rPr>
        <w:t>in early stage research and development with the goal of identifying and developing additional product candidates as well as investments in research into new technologies to potentially augment our pipeline. Our future success may depend in part on the successful development of novel therapeutic approaches, including new therapies that may be able to use our EXACT technology or other transgene regulation technology. However, while our preclinical research and clinical trials may initially show promise in identifying potential product candidates, they may ultimately fail to yield product candidates for a number of reasons. For example, although EXACT is designed to deliver therapeutic levels of transgene while avoiding overexpression toxicity and off-target effects, there can be no assurance that any EXACT transgene regulation will result in product candidates that are shown in clinical trials to be safe, pure, and effective or potent.</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To date, very </w:t>
      </w:r>
      <w:r>
        <w:rPr>
          <w:rFonts w:ascii="Times New Roman;serif" w:hAnsi="Times New Roman;serif"/>
          <w:b w:val="false"/>
          <w:color w:val="000000"/>
          <w:sz w:val="20"/>
        </w:rPr>
        <w:t>few</w:t>
      </w:r>
      <w:r>
        <w:rPr>
          <w:color w:val="000000"/>
          <w:shd w:fill="FFFFFF" w:val="clear"/>
        </w:rPr>
        <w:t xml:space="preserve"> </w:t>
      </w:r>
      <w:r>
        <w:rPr>
          <w:rFonts w:ascii="Times New Roman;serif" w:hAnsi="Times New Roman;serif"/>
          <w:b w:val="false"/>
          <w:color w:val="000000"/>
          <w:sz w:val="20"/>
          <w:shd w:fill="FFFFFF" w:val="clear"/>
        </w:rPr>
        <w:t>products that utilize gene transfer have been approved in the United States, Europe or other markets, and no products have been approved using our EXACT technology or technology similar to it. There have been a limited number of clinical trials of gene transfer technologies, with only very few product candidates ever approved by the FDA or comparable foreign regulatory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73685"/>
                <wp:effectExtent l="0" t="0" r="0" b="0"/>
                <wp:wrapNone/>
                <wp:docPr id="50" name="Frame4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As a result, it is </w:t>
      </w:r>
      <w:r>
        <w:rPr>
          <w:rFonts w:ascii="Times New Roman;serif" w:hAnsi="Times New Roman;serif"/>
          <w:b w:val="false"/>
          <w:color w:val="000000"/>
          <w:sz w:val="20"/>
        </w:rPr>
        <w:t>difficult</w:t>
      </w:r>
      <w:r>
        <w:rPr>
          <w:color w:val="000000"/>
          <w:shd w:fill="FFFFFF" w:val="clear"/>
        </w:rPr>
        <w:t xml:space="preserve"> </w:t>
      </w:r>
      <w:r>
        <w:rPr>
          <w:rFonts w:ascii="Times New Roman;serif" w:hAnsi="Times New Roman;serif"/>
          <w:b w:val="false"/>
          <w:color w:val="000000"/>
          <w:sz w:val="20"/>
          <w:shd w:fill="FFFFFF" w:val="clear"/>
        </w:rPr>
        <w:t>for us to predict the time and cost of product candidate development, and we cannot predict whether the application of our approach to gene therapy will result in the identification, development, and regulatory approval of any product candidates, or that other gene therapy programs will not be considered better or more attractive. There can be no assurance that any development problems we experience in the future related to our current gene therapy approaches or product candidates or any of our research programs will not cause significant delays or unanticipated costs, or that such development problems can be solved. Research programs to identify new product candidates require substantial technical, financial, and human resources. If we are unable to identify suitable gene therapy product candidates for preclinical and clinical development in a cost effective manner, we may not be able to successfully implement this portion of our business strategy, and may have to delay, reduce the scope of, suspend or eliminate one or more of our current or future product candidates, clinical trials or future commercialization efforts, which would negatively impact our financial condition.</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disorders we seek to treat have low prevalence and it may be difficult to identify and enroll patients with these disorders. If we experience delays or difficulties in the enrollment and/or maintenance of patients in clinical trials, our receipt of necessary regulatory approvals could be delayed or prevented.</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Successful </w:t>
      </w:r>
      <w:r>
        <w:rPr>
          <w:rFonts w:ascii="Times New Roman;serif" w:hAnsi="Times New Roman;serif"/>
          <w:b w:val="false"/>
          <w:color w:val="000000"/>
          <w:sz w:val="20"/>
        </w:rPr>
        <w:t>and</w:t>
      </w:r>
      <w:r>
        <w:rPr>
          <w:color w:val="000000"/>
          <w:shd w:fill="FFFFFF" w:val="clear"/>
        </w:rPr>
        <w:t xml:space="preserve"> </w:t>
      </w:r>
      <w:r>
        <w:rPr>
          <w:rFonts w:ascii="Times New Roman;serif" w:hAnsi="Times New Roman;serif"/>
          <w:b w:val="false"/>
          <w:color w:val="000000"/>
          <w:sz w:val="20"/>
          <w:shd w:fill="FFFFFF" w:val="clear"/>
        </w:rPr>
        <w:t>timely completion of clinical trials will require that we enroll and maintain a sufficient number of patients. Patient enrollment is affected by many factors, including the size and nature of the patient population and competition for patients with other trials. Genetic diseases generally, and especially the rare diseases for which some of our current product candidates are targeted, have low incidence and prevalence. For example, we estimate global incidence of Rett syndrome to be approximately one in 10,000 live female births. Accordingly, it may be difficult for us to identify and timely recruit a sufficient number of eligible patients to conduct our clinical trials. Further, any natural history studies that we or our collaborators may conduct may fail to provide us with patients for our clinical trials because patients enrolled in the natural history studies may not be good candidates for our clinical trials, or may choose to not enroll in our clinical trials.</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Trials may </w:t>
      </w:r>
      <w:r>
        <w:rPr>
          <w:rFonts w:ascii="Times New Roman;serif" w:hAnsi="Times New Roman;serif"/>
          <w:b w:val="false"/>
          <w:color w:val="000000"/>
          <w:sz w:val="20"/>
        </w:rPr>
        <w:t>be</w:t>
      </w:r>
      <w:r>
        <w:rPr>
          <w:color w:val="000000"/>
          <w:shd w:fill="FFFFFF" w:val="clear"/>
        </w:rPr>
        <w:t xml:space="preserve"> </w:t>
      </w:r>
      <w:r>
        <w:rPr>
          <w:rFonts w:ascii="Times New Roman;serif" w:hAnsi="Times New Roman;serif"/>
          <w:b w:val="false"/>
          <w:color w:val="000000"/>
          <w:sz w:val="20"/>
          <w:shd w:fill="FFFFFF" w:val="clear"/>
        </w:rPr>
        <w:t>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the Medicines and Healthcare products Regulatory Agency (“MHRA”) in the United Kingdom, the Therapeutic Goods Administration (“TGA”) in Australia, the European Medicines Agency (“EMA”) or other foreign regulatory authorities. We cannot predict how successful we will be at enrolling subjects in future clinical trials. Subject enrollment is affected by other factors including:</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eligibility criteria for the trial in question;</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timely diagnosis of disease to meet such eligibility criteria;</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size of the patient population and process for identifying patients;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perceived risks and benefits of the product candidate in the trial, especially by clinician experts and patient advocacy organizations, including relating to AAV9-based gene therapy, which may evolve over time as more AAV-based gene therapy trials are conducted, and intra-cerebrospinal fluid delivery system;</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availability of competing commercially available therapies and other competing therapeutic candidates’ clinical trials;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willingness of caregivers to enroll their children in our clinical trials;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efforts to facilitate timely enrollment in clinical trials;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potential disruptions caused by pandemics or other public health crises, including difficulties in initiating clinical sites, enrolling and retaining participants, diversion of healthcare resources away from clinical trials, travel or quarantine policies that may be implemented, and other factors;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patient referral practices of physicians;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ability to monitor patients adequately during and after treatment; and</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proximity and availability of clinical trial sites for prospective patients.</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Even if we </w:t>
      </w:r>
      <w:r>
        <w:rPr>
          <w:rFonts w:ascii="Times New Roman;serif" w:hAnsi="Times New Roman;serif"/>
          <w:b w:val="false"/>
          <w:color w:val="000000"/>
          <w:sz w:val="20"/>
        </w:rPr>
        <w:t>are</w:t>
      </w:r>
      <w:r>
        <w:rPr>
          <w:color w:val="000000"/>
          <w:shd w:fill="FFFFFF" w:val="clear"/>
        </w:rPr>
        <w:t xml:space="preserve"> </w:t>
      </w:r>
      <w:r>
        <w:rPr>
          <w:rFonts w:ascii="Times New Roman;serif" w:hAnsi="Times New Roman;serif"/>
          <w:b w:val="false"/>
          <w:color w:val="000000"/>
          <w:sz w:val="20"/>
          <w:shd w:fill="FFFFFF" w:val="clear"/>
        </w:rPr>
        <w:t>able to enroll a sufficient number of patients in our clinical trials, we may have difficulty maintaining enrollment of such patients. Our inability to enroll or maintain a sufficient number of patients would result in significant delays in completing clinical trials or receipt of marketing approvals and increased development costs, or may require us to abandon one or more clinical trials altogether.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73685"/>
                <wp:effectExtent l="0" t="0" r="0" b="0"/>
                <wp:wrapNone/>
                <wp:docPr id="51" name="Frame5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We may not be successful in identifying and advancing a strategy to continue the development of NGN-101 for CLN5 Batten disease, and in the meantime, may incur additional costs as we continue the post-dosing phases of our clinical trial for NGN-101.</w:t>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November 2024, we announced that we do not expect to move forward with the NGN-101 CLN5 Batten disease gene therapy program at the present time because of an inability to align on a streamlined registrational pathway with the FDA for that product candidate, but that we would continue to evaluate options for that program. We may consider a range of potential alternatives for the program, which could include continuing to discuss possibilities for a streamlined pathway to registration with the FDA, looking for a partner, or out-licensing the product candidate entirely, but there can be no assurance that we will find any alternative to move the program forward.</w:t>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while we have completed dosing in the Phase 1/2 clinical trial of NGN-101 for CLN5 Batten disease, we do intend to continue to follow the patients who received treatment in the clinical trial and therefore may continue to incur certain incremental costs related to the continued observations in that clinical trial, even if we are not able to find a future path to commercialization for this product candidate.</w:t>
      </w:r>
    </w:p>
    <w:p>
      <w:pPr>
        <w:pStyle w:val="TextBody"/>
        <w:bidi w:val="0"/>
        <w:spacing w:lineRule="auto" w:line="288" w:before="24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programs are focused on the development of therapeutics for patients with neurological diseases, which is a rapidly evolving area of science, and the approach we are taking to discover and develop product candidates is novel and may never lead to approved or marketable products.</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The discovery and development of therapeutics for patients with neurological diseases is an emerging field, and the scientific discoveries that form the basis for our efforts to discover and develop product candidates are relatively new. The scientific evidence </w:t>
      </w:r>
      <w:r>
        <w:rPr>
          <w:rFonts w:ascii="Times New Roman;serif" w:hAnsi="Times New Roman;serif"/>
          <w:b w:val="false"/>
          <w:color w:val="000000"/>
          <w:sz w:val="20"/>
        </w:rPr>
        <w:t>to</w:t>
      </w:r>
      <w:r>
        <w:rPr>
          <w:color w:val="000000"/>
          <w:shd w:fill="FFFFFF" w:val="clear"/>
        </w:rPr>
        <w:t xml:space="preserve"> </w:t>
      </w:r>
      <w:r>
        <w:rPr>
          <w:rFonts w:ascii="Times New Roman;serif" w:hAnsi="Times New Roman;serif"/>
          <w:b w:val="false"/>
          <w:color w:val="000000"/>
          <w:sz w:val="20"/>
          <w:shd w:fill="FFFFFF" w:val="clear"/>
        </w:rPr>
        <w:t xml:space="preserve">support the feasibility of developing product candidates based on these discoveries is both preliminary and limited. Although we believe, based on our preclinical work, that our programs have the potential to be disease-modifying therapies, clinical results may not confirm this hypothesis or may only confirm it for certain alterations or certain indications. The patient populations for our product candidates are limited to those with specific neurological diseases. We cannot be certain that the patient populations for each specific disease will be large enough to allow us to successfully obtain approval and commercialize our product candidates and achieve profitability. Further, our clinical trial of NGN-401 involves a small patient population. Because of the small sample sizes, the expansion of our clinical trial to an adolescent/adult cohort and the heterogeneity of the disease state, the results of the Phase 1/2 trial for NGN-401 may not be indicative of results of the Embolden trial or any future clinical trials we may conduct. </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we do not achieve our projected development goals in the timeframes we announce and expect, the commercialization of NGN-401 or any other product candidates may be delayed and, as a result, our stock price may decline.</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NGN-401 or any other product candidates may be delayed or never achieved and, as a result, our stock price may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73685"/>
                <wp:effectExtent l="0" t="0" r="0" b="0"/>
                <wp:wrapNone/>
                <wp:docPr id="52" name="Frame5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Preclinical and clinical development involves a lengthy and expensive process that is subject to delays and uncertain outcomes, and results of earlier studies and trials may not be predictive of future clinical trial results.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Before obtaining marketing approval from regulatory authorities for the sale of any product candidate, we must complete preclinical studies, which are a lengthy, time consuming and expensive process with a high risk of failure. The length of time of such testing may vary substantially according to the type, complexity and novelty of the program, and often can be several years or more per program. Delays associated with programs for which we are conducting preclinical testing and studies may cause us to incur additional operating expenses. For example, we depend on the availability of NHPs to conduct certain preclinical studies that we are required to complete prior to submitting an IND and initiating clinical development. A sustained global shortage of NHPs available for biological product development could cause the cost of obtaining NHPs for our future preclinical studies to increase significantly and result in delays to our development timelines. However, after conducting preclinical studies, we must then conduct extensive clinical trials to demonstrate the safety, purity, and efficacy or potency of our product candidate in humans. Our clinical trials may not be conducted as planned or completed on schedule, if at all. </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Furthermore, failure can occur at any time during the preclinical study or clinical trial process, and the outcome of preclinical studies and early-stage clinical trials may not be predictive of the success of later clinical trials, especially as our initial clinical trials do not contain a control arm. In addition, we have designed our initial clinical trials with relatively small cohorts before expanding in size and dosing in subsequent cohorts. If safety issues arise in an early cohort, we may be delayed or prevented from dose escalating or subsequently expanding into larger trial cohorts. </w:t>
      </w:r>
      <w:r>
        <w:rPr>
          <w:rFonts w:ascii="Times New Roman;serif" w:hAnsi="Times New Roman;serif"/>
          <w:b w:val="false"/>
          <w:color w:val="000000"/>
          <w:sz w:val="20"/>
        </w:rPr>
        <w:t>For example, in November 2024, following an SAE at the 3E15 vg dose in our Phase 1/2 clinical trial of NGN-401 for the treatment of Rett syndrome that resulted in a fatality, we elected to revise our trial protocol before resuming dosing and remove the 3E15 vg dose from the trial protocol with no plans to enroll any further participants at that dose.</w:t>
      </w:r>
      <w:r>
        <w:rPr>
          <w:color w:val="000000"/>
          <w:shd w:fill="FFFFFF" w:val="clear"/>
        </w:rPr>
        <w:t xml:space="preserve"> </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Earlier gene therapy clinical trials conducted by others also utilized AAV vectors. However, these studies should not be relied upon as evidence that our planned clinical trials will succeed. In addition, we expect to rely on patients, caregivers and clinicians to provide feedback on measures, which are subjective and inherently difficult to evaluate. These measures can be influenced by factors outside of our control, and can vary widely from day to day for a particular patient, and from patient to patient or caregiver to caregiver and from site to site within a clinical trial.</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We cannot be sure that the FDA or comparable foreign regulatory authorities will agree with our clinical development plan. We have completed dosing in our Phase 1/2 clinical trial and our Embolden trial for NGN-401. However, if the FDA or any comparable regulatory authorities require us to conduct additional trials or enroll additional patients, our development timelines may be delayed, or we may not be able to pursue further development due to such delays. For example, i</w:t>
      </w:r>
      <w:r>
        <w:rPr>
          <w:rFonts w:ascii="Times New Roman;serif" w:hAnsi="Times New Roman;serif"/>
          <w:b w:val="false"/>
          <w:color w:val="000000"/>
          <w:sz w:val="20"/>
        </w:rPr>
        <w:t xml:space="preserve">n November 2024, we announced that we do not expect to move forward with the NGN-101 for CLN5 Batten disease gene therapy program at this time. Given the rarity of the disease, continued investment in the program was predicated on alignment on a streamlined registrational pathway with the FDA. To support a streamlined pathway, we submitted an RMAT application to the FDA. Despite our belief that we met the standard of preliminary clinical evidence required to obtain an RMAT designation, the RMAT application was denied. </w:t>
      </w:r>
      <w:r>
        <w:rPr>
          <w:rFonts w:ascii="Times New Roman;serif" w:hAnsi="Times New Roman;serif"/>
          <w:b w:val="false"/>
          <w:color w:val="000000"/>
          <w:sz w:val="20"/>
          <w:shd w:fill="FFFFFF" w:val="clear"/>
        </w:rPr>
        <w:t>We cannot be sure that submission of an IND application, clinical trial application (“CTA”) or similar application will result in the FDA or comparable foreign regulatory authorities, as applicable, allowing clinical trials to begin in a timely manner, if at all. Moreover, even if these trials begin, issues may arise that could cause regulatory authorities to require us to suspend or terminate such clinical trials. Events that may prevent successful or timely initiation or completion of clinical trials include: inability to generate sufficient preclinical, toxicology or other</w:t>
      </w:r>
      <w:r>
        <w:rPr>
          <w:color w:val="000000"/>
          <w:shd w:fill="FFFFFF" w:val="clear"/>
        </w:rPr>
        <w:t> </w:t>
      </w:r>
      <w:r>
        <w:rPr>
          <w:rFonts w:ascii="Times New Roman;serif" w:hAnsi="Times New Roman;serif"/>
          <w:b w:val="false"/>
          <w:i/>
          <w:color w:val="000000"/>
          <w:sz w:val="20"/>
          <w:shd w:fill="FFFFFF" w:val="clear"/>
        </w:rPr>
        <w:t>in vivo</w:t>
      </w:r>
      <w:r>
        <w:rPr>
          <w:color w:val="000000"/>
          <w:shd w:fill="FFFFFF" w:val="clear"/>
        </w:rPr>
        <w:t> </w:t>
      </w:r>
      <w:r>
        <w:rPr>
          <w:rFonts w:ascii="Times New Roman;serif" w:hAnsi="Times New Roman;serif"/>
          <w:b w:val="false"/>
          <w:color w:val="000000"/>
          <w:sz w:val="20"/>
          <w:shd w:fill="FFFFFF" w:val="clear"/>
        </w:rPr>
        <w:t>or</w:t>
      </w:r>
      <w:r>
        <w:rPr>
          <w:color w:val="000000"/>
          <w:shd w:fill="FFFFFF" w:val="clear"/>
        </w:rPr>
        <w:t> </w:t>
      </w:r>
      <w:r>
        <w:rPr>
          <w:rFonts w:ascii="Times New Roman;serif" w:hAnsi="Times New Roman;serif"/>
          <w:b w:val="false"/>
          <w:i/>
          <w:color w:val="000000"/>
          <w:sz w:val="20"/>
          <w:shd w:fill="FFFFFF" w:val="clear"/>
        </w:rPr>
        <w:t>in vitro</w:t>
      </w:r>
      <w:r>
        <w:rPr>
          <w:color w:val="000000"/>
          <w:shd w:fill="FFFFFF" w:val="clear"/>
        </w:rPr>
        <w:t> </w:t>
      </w:r>
      <w:r>
        <w:rPr>
          <w:rFonts w:ascii="Times New Roman;serif" w:hAnsi="Times New Roman;serif"/>
          <w:b w:val="false"/>
          <w:color w:val="000000"/>
          <w:sz w:val="20"/>
          <w:shd w:fill="FFFFFF" w:val="clear"/>
        </w:rPr>
        <w:t xml:space="preserve">data to support the initiation or continuation of clinical trials; delays in reaching a consensus with regulatory authorities on study design or implementation of the clinical trials; delays or failure in obtaining regulatory authorization to commence a trial; delays in reaching agreement on acceptable terms with prospective CROs and clinical trial sites, the terms of which can be subject to extensive negotiation and may vary significantly among different CROs and clinical trial sites; delays in identifying, recruiting and training suitable clinical investigators; delays in obtaining required IRB approval at each clinical trial site; difficulties in patient enrollment in our clinical trials for a variety of reasons; delays related to safety concerns; delays in manufacturing, testing, releasing, validating or importing/exporting sufficient stable quantities of our product candidates for use in clinical trials or the inability to do any of the foregoing; failure by our CROs, other third parties or us to adhere to clinical trial protocols; failure to perform in accordance with the FDA’s or any other regulatory authority’s good clinical practices (“GCPs”)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73685"/>
                <wp:effectExtent l="0" t="0" r="0" b="0"/>
                <wp:wrapNone/>
                <wp:docPr id="53" name="Frame5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applicable regulatory guidelines in other countries; changes to the clinical trial protocols; clinical sites deviating from trial protocol or dropping out of a trial; changes in regulatory requirements and guidance that require amending or submitting new clinical protocols; selection of clinical endpoints that require prolonged periods of observation or analyses of resulting data; transfer of manufacturing processes to larger-scale facilities operated by a CDMO and delays or failure by our CDMOs or us to make any necessary changes to such manufacturing process and demonstrate comparability to materials used in earlier clinical phases; and third parties being unwilling or unable to satisfy their contractual obligations to us.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could also encounter delays if a clinical trial is placed on clinical hold, suspended or terminated by us, the IRBs of the institutions in which such trials are being conducted, or the FDA, the competent authorities and/or ethics committees of the UK, Australia, EU Member States or other regulatory authorities, if a clinical trial is recommended for suspension or termination by the DSMB or equivalent body for such trial, or on account of changes to federal, state, or local laws. If we are required to conduct additional clinical trials or other testing of NGN-401 or any other product candidates beyond those that we contemplate, if we are unable to successfully complete clinical trials of NGN-401 or any other product candidates, if the results of such trials are not positive or are only moderately positive or if there are safety concerns, our business and results of operations may be adversely affected and we may incur significant additional costs.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even if we are able to successfully complete the clinical trial for NGN-401, we cannot guarantee that the FDA or foreign regulatory authorities will interpret the results as we do, and more trials could be required before we submit our product candidates for approval. This is particularly true for clinical trials in very rare diseases, such as with our Embolden trial of NGN-401 for the treatment of Rett syndrome, where the very small patient population makes it difficult to conduct two traditional, adequate and well-controlled studies. In such cases, the FDA or comparable foreign regulatory authorities are often required or permitted to exercise flexibility in approving therapies for such diseases, but obtaining flexibility is uncertain and may never occur. Moreover, results acceptable to support approval in one jurisdiction may be deemed inadequate by another regulatory authority to support regulatory approval in the other jurisdiction. To the extent that the results of the trials are not satisfactory to the FDA or applicable regulatory authorities for support of a marketing application, we may be required to expend significant resources, which may not be available to us, to conduct additional trials in support of potential approval of our product candidates.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Preliminary, “topline” or interim data from our preclinical studies and clinical trials that we announce or publish from time to time may change as more patient data becomes available and are subject to audit and verification procedures.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From time to time, we may publicly disclose preliminary, interim or topline data from our preclinical studies and clinical trials, which are based on a preliminary analysis of then-available data, and the results and related findings and conclusions are subject to change following a more comprehensive review of the data. We also make assumptions, estimations, calculations and conclusions as part of our analyses of these data without the opportunity to fully and carefully evaluate complete data. Preliminary, interim or topline results also remain subject to audit and verification procedures that may result in the final data being materially different from the preliminary data previously disclosed. These preliminary, interim or topline data are subject to the risk that one or more of the clinical outcomes may materially change as patient enrollment continues and more patient data become available or as patients from our clinical trials continue other treatments. For example, in June 2024, we announced initial safety data related to the dosing of our first three participants at the 1E15 vg dose and the first participant at the 3E15 vg dose in our Phase 1/2 clinical trial of NGN-401 for the treatment of Rett syndrome which suggested a favorable safety profile. In November 2024, an SAE was reported in a participant who received the 3E15 vg dose, which caused us to revise our assumptions regarding the safety profile of the 3E15 vg dose. Because of this potential for change, preliminary, interim and topline data should be viewed with caution until final data are available. Further, others, including regulatory agencies, may not accept or agree with our assumptions, estimates, calculations, conclusions or analyses or may interpret or weigh the importance of data differently, which could impact the value of the particular product candidate, the approvability or commercialization of a particular product candidate and our company in general. In addition, the information we choose to publicly disclose regarding a particular preclinical study or clinical trial is based on what is typically extensive information, and you or others may not agree with what we determine is material or otherwise appropriate information to include in our disclosure. If the preliminary, interim or topline data that we report differ from actual results, or if others, including regulatory authorities, disagree with the conclusions reached, our ability to obtain approval for, and commercialize, NGN-401 or any other product candidate may be harmed, which could harm our business, operating results, prospects or financial condition. In addition, differences between preliminary, interim or topline data and final data could significantly harm our business prospects and may cause the trading price of our common stock to fluctuate significantly.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73685"/>
                <wp:effectExtent l="0" t="0" r="0" b="0"/>
                <wp:wrapNone/>
                <wp:docPr id="54" name="Frame5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current or future clinical trials may reveal significant adverse events or undesirable side effects not seen in our preclinical studies and may result in a safety profile that could halt clinical development, inhibit regulatory approval or limit commercial potential or market acceptance of NGN-401 or any other product candidates or result in potential product liability claims.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Results of our clinical trials could reveal a high and unacceptable severity and prevalence of side effects, adverse events or unexpected characteristics. We believe NGN-401 has been generally well-tolerated at the 1E15 vg dose; however, we have not yet completed this clinical trial and the benefit-risk assessments of our product candidates remains ongoing. In November 2024, a participant who had recently received the 3E15 vg dose of NGN-401 experienced an SAE consistent with the known risks of AAV gene therapy and subsequently died following complications from a rare and life-threatening hyperinflammatory syndrome associated with systemic exposure to high doses of AAV. Participants at the 1E15 vg dose have also experienced adverse events, and may experience adverse events in the future. If additional SAEs or other adverse events or other side effects are observed in any of our current or future clinical trials, we may have difficulty recruiting patients to such trials, patients may drop out of our trials, patients may be harmed, or we may be required to delay enrollment or abandon one or more cohorts of a trial or delay or abandon the trials or our development efforts of one or more product candidates altogether, including NGN-401. We, the FDA, MHRA, or other applicable regulatory authorities, or an IRB, may require suspension of any clinical trials of NGN-401 or any other product candidates at any time for various reasons, including a finding that subjects or patients in such trials are being exposed to unacceptable health risks or adverse side effects. Some potential products developed in the biotechnology industry that initially showed therapeutic promise in early-stage trials have later been found to cause side effects that prevented their further development. Even if the side effects do not preclude a product candidate from obtaining or maintaining marketing approval, undesirable side effects may inhibit market acceptance of an approved product due to its tolerability versus other therapies. In addition, as gene replacement has a potentially life-long activity, with no ability to withdraw the product as with other treatment modalities, this profile could prolong the duration of undesirable side effects, which could also inhibit market acceptance. Treatment-emergent adverse events could also affect patient recruitment or the ability of enrolled subjects to complete our clinical trials or could result in potential product liability claims. Potential side effects associated with NGN-401 or any other product candidates may not be appropriately recognized or managed by the treating medical staff, as toxicities resulting from NGN-401 or any other product candidates may not be normally encountered in the general patient population and by medical personnel. Any of these occurrences could harm our business, financial condition, results of operations and prospects significantly.</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In addition, even if we successfully advance NGN-401 or any other product candidates through clinical trials, such trials will only include a limited number of patients and limited duration of follow up to such product candidates. As a result, we cannot be assured that adverse effects of NGN-401 or any other product candidates will not be uncovered when a significantly larger number of patients are exposed to such product candidate after approval, or a significantly longer follow up post-dosing is obtained as part of regulators’ recommendations for long-term follow up of clinical study subjects treated with gene therapy. For example, product candidates tested in clinical-stage gene therapy trials by commercial stage companies have later been involved in well-publicized adverse events after approval and commercialization, including death, and/or have failed to demonstrate the expected efficacy. Lack of efficacy or the occurrence of serious adverse events, even if such adverse events are not ultimately attributable to the relevant product candidate, may result in increased government regulation, unfavorable public perception of gene therapies, potential regulatory delays in the testing or approval of our product candidates, stricter labeling requirements for those product candidates that are approved and a decrease in demand for any such product candidate. Further, any clinical trials may not be sufficient to determine the effect and safety consequences of using our product candidates over a multi-year period. For example, another company pursuing gene therapy in a clinical trial for a different rare disease recently reported the discovery of cancer believed to have been caused by vector integration several years after an AAV-based gene therapy treatment was received by that patient, although causality has yet to be fully established. While we believe such subsequent adverse events to be rare, because gene therapy is relatively new, there may</w:t>
      </w:r>
      <w:r>
        <w:rPr>
          <w:color w:val="000000"/>
        </w:rPr>
        <w:t xml:space="preserve"> </w:t>
      </w:r>
      <w:r>
        <w:rPr>
          <w:rFonts w:ascii="Times New Roman;serif" w:hAnsi="Times New Roman;serif"/>
          <w:b w:val="false"/>
          <w:color w:val="000000"/>
          <w:sz w:val="20"/>
        </w:rPr>
        <w:t>be other potential risks of gene therapy that may emerge in the years following treatment of which we are not yet aware. Safety issues in other AAV-based gene therapy programs could result in increased regulatory scrutiny, new guidance, clinical holds on our trials, protocol amendments, or delays affecting our programs even if our trials have not experienced similar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73685"/>
                <wp:effectExtent l="0" t="0" r="0" b="0"/>
                <wp:wrapNone/>
                <wp:docPr id="55" name="Frame5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We have expended substantial efforts and costs testing our EXACT technology in preclinical studies of NGN-401, including completing toxicology studies prior to the FDA providing clearance of the IND for NGN-401 and have not seen any adverse effects that we believe are attributable to EXACT in our Phase 1/2 trial of NGN-401 as of our most recent data cut off date of June 16, 2026. However, we cannot guarantee that significant adverse effects will not be seen in the future in clinical trials for NGN-401, which could result in clinical holds, delays, suspension or withdrawal of our IND.</w:t>
      </w:r>
      <w:r>
        <w:rPr>
          <w:color w:val="000000"/>
          <w:shd w:fill="FFFFFF" w:val="clear"/>
        </w:rPr>
        <w:t> </w:t>
      </w:r>
      <w:r>
        <w:rPr>
          <w:rFonts w:ascii="Times New Roman;serif" w:hAnsi="Times New Roman;serif"/>
          <w:b w:val="false"/>
          <w:color w:val="000000"/>
          <w:sz w:val="20"/>
          <w:shd w:fill="FFFFFF" w:val="clear"/>
        </w:rPr>
        <w:t>If any of the foregoing events occur or if NGN-401, NGN-101 or any other product candidates prove to be unsafe, our entire pipeline could be affected, which would have a material adverse effect on our business, financial condition, results of operations and prospects.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expend our limited resources to pursue a particular product candidate, such as NGN-401, and fail to capitalize on candidates that may be more profitable or for which there is a greater likelihood of success.</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Because we have limited financial and managerial resources, we intend to focus our research and development efforts on certain selected product candidates. To date we have allocated significant resources to our most advanced product candidates, NGN-401 and NGN-101. As a result, we may forgo or delay pursuit of opportunities with other potential candidates that may later prove to have greater commercial potential. For example, i</w:t>
      </w:r>
      <w:r>
        <w:rPr>
          <w:rFonts w:ascii="Times New Roman;serif" w:hAnsi="Times New Roman;serif"/>
          <w:b w:val="false"/>
          <w:color w:val="000000"/>
          <w:sz w:val="20"/>
        </w:rPr>
        <w:t xml:space="preserve">n November 2024, we announced that we do not expect to move forward with the NGN-101 for CLN5 Batten disease gene therapy program at this time. Given the </w:t>
      </w:r>
      <w:r>
        <w:rPr>
          <w:rFonts w:ascii="Times New Roman;serif" w:hAnsi="Times New Roman;serif"/>
          <w:b w:val="false"/>
          <w:color w:val="000000"/>
          <w:sz w:val="20"/>
          <w:shd w:fill="FFFFFF" w:val="clear"/>
        </w:rPr>
        <w:t>rarity</w:t>
      </w:r>
      <w:r>
        <w:rPr>
          <w:color w:val="000000"/>
        </w:rPr>
        <w:t xml:space="preserve"> </w:t>
      </w:r>
      <w:r>
        <w:rPr>
          <w:rFonts w:ascii="Times New Roman;serif" w:hAnsi="Times New Roman;serif"/>
          <w:b w:val="false"/>
          <w:color w:val="000000"/>
          <w:sz w:val="20"/>
        </w:rPr>
        <w:t xml:space="preserve">of the disease, continued investment in the program was predicated on a streamlined registrational pathway with the FDA. To support a streamlined pathway, we submitted an RMAT application to the FDA. Despite our belief that we met the standard of preliminary clinical evidence required to obtain an RMAT designation, the RMAT designation was denied. </w:t>
      </w:r>
      <w:r>
        <w:rPr>
          <w:rFonts w:ascii="Times New Roman;serif" w:hAnsi="Times New Roman;serif"/>
          <w:b w:val="false"/>
          <w:color w:val="000000"/>
          <w:sz w:val="20"/>
          <w:shd w:fill="FFFFFF" w:val="clear"/>
        </w:rPr>
        <w:t>Our resource allocation decisions may cause us to fail to capitalize on viable commercial products or profitable market opportunities. Our spending on current and future research and development programs for specific indications may not yield any commercially viable product candidates. If we do not accurately evaluate the commercial potential or target market for a particular product candidate, we may relinquish valuable rights to that candidate through collaboration, licensing or other royalty arrangements in cases in which it would have been more advantageous for us to retain sole development and commercialization rights to such candidate.</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Even if regulatory approval is obtained, any approved products resulting from NGN-401 or any other product candidate may not achieve adequate market acceptance among clinicians, patients, healthcare third-party payors and others in the medical community necessary for commercial success and we may not generate any future revenue from the sale or licensing of such products.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Even if regulatory approval is obtained for NGN-401 or any other product candidates, our product candidates may not gain market acceptance among physicians, patients, healthcare payors or the medical community. We may not generate or sustain revenue from sales of the product due to factors such as whether the product can be sold at a competitive cost and whether it will otherwise be accepted in the market. There is currently one FDA-approved product and multiple other product candidates in various stages of development for the treatment of Rett syndrome. Market participants with significant influence over acceptance of new treatments, such as clinicians and third-party payors, may not adopt a gene therapy replacement with a target product profile such as that of NGN-401 or for its targeted indications, and we may not be able to convince the medical community and third-party payors to accept and use, or to provide favorable reimbursement for, any product candidates developed by us or our existing or future collaborators. Market acceptance of NGN-401 or any other product candidates will depend on many factors, including factors that are not within our control.</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Sales of biological products also depend on the willingness of clinicians to prescribe the treatment. We cannot predict whether clinicians, clinicians’ organizations, hospitals, other healthcare providers, government agencies or private insurers will determine that any of our approved products are safe, therapeutically effective or potent, cost effective or less burdensome as compared with competing treatments. If NGN-401 or any other product candidate is approved but does not achieve an adequate level of acceptance by such parties, we may not generate or derive sufficient revenue from that product and may not become or remain profitable.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73685"/>
                <wp:effectExtent l="0" t="0" r="0" b="0"/>
                <wp:wrapNone/>
                <wp:docPr id="56" name="Frame5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have never commercialized a product candidate and may lack the necessary expertise, personnel and resources to successfully commercialize a product candidate on our own or together with suitable collaborators.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never commercialized a product candidate and currently have no sales force, marketing or distribution capabilities. To achieve commercial success for a product candidate, we may opt to license such product candidate to others, in which case we may rely on the assistance and guidance of our collaborators on that license arrangement. For a product candidate for which we retain commercialization rights and marketing approval, we will have to develop our own sales, marketing and supply organization or outsource these activities to a third party. Factors that may affect our ability to commercialize a product candidate, if approved, on our own include recruiting and retaining adequate numbers of effective sales and marketing personnel, developing adequate educational and marketing programs to increase public acceptance of our approved product candidate,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a product candidate upon approval. Moreover, we may not be able to build an effective sales and marketing organization. If we are unable to build our own distribution and marketing capabilities or to find suitable partners for the commercialization of an approved product candidate, we may not generate revenues from them or be able to reach or sustain profitability.</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have never completed any late-stage clinical trials and may not be able to file an IND application or other applications for regulatory approval to commence additional clinical trials on the timelines we expect. Even if we are able to complete such trials, the FDA or comparable foreign regulatory authorities may not permit us to proceed or could suspend or terminate any such trial after it has been initiated.</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early in our development efforts and will need to successfully complete later-stage and pivotal clinical trials in order to obtain FDA or comparable foreign regulatory approval to market our product candidates. Carrying out clinical trials and the submission of a successful IND or CTA is a complicated process. Even though our product candidate NGN-401 for Rett syndrome has been accepted into the FDA’s START program and granted Breakthrough Therapy and RMAT designations, the combination of which is expected to allow access to frequent advice from FDA staff, intensive guidance on efficient drug development and eligibility for an Accelerated Approval pathway and Priority Review, our lack of experience with FDA submissions may still slow our progress towards FDA approval. We have completed dosing in our Phase 1/2 trial of NGN-101 for the treatment of CLN5 Batten disease and our Phase 1/2 and Embolden trials of NGN-401 for the treatment of Rett syndrome in the United States; however, we have not yet completed a clinical trial and have limited experience as a company in preparing, submitting and prosecuting regulatory filings. We expect to engage with foreign regulators to determine the requirements to support initiation of a pivotal clinical trial in foreign countries; however, those regulatory authorities may have different requirements for approval, including different requirements for clinical trial designs, and may recommend or require changes to the study design for NGN-401, including the number and size of registrational clinical trials required to be conducted in that program to be considered for approval. Regulatory authorities could also require manufacturing changes or have us implement additional analytical processes prior to initiation of a future clinical trial. Consequently, we may be unable to successfully and efficiently execute and complete necessary clinical trials in a way that leads to regulatory submission and approval of our product candidates or we may determine that the regulatory requirements for submission are too burdensome to support continued development of one or more of our product candidates, as we did with our NGN-101 product candidate for CLN5 Batten disease, which we do not plan to move forward with due to a lack of alignment with the FDA on a streamlined pathway to registration. Additionally, even if regulatory authorities agree with the design and implementation of the clinical trials set forth in a regulatory meeting, such regulatory authorities may change their requirements in the future. The FDA or comparable foreign regulatory authorities may require the analysis of data from trials assessing different doses of the product candidate alone or in combination with other therapies to justify the selected dose prior to the initiation of large trials in a specific indication. Any delays or failure to initiate clinical trials or obtain regulatory approvals for our trials may prevent us from completing our clinical trials or commercializing our products on a timely basis, if at all. We are subject to similar risks related to the review and authorization of our protocols and amendments by comparable foreign regulatory authorities.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our preclinical pipeline, if the IND-enabling studies support a decision to advance into clinical development, we would plan to submit an IND or CTA with a foreign regulatory authority. We may not be able to file the IND or CTA in accordance with our desired timelines for future product candidates. For example, we may experience manufacturing delays or other delays with IND-enabling studies, including with suppliers, study sites, or third-party contractors and vendors on which we depend. Moreover, we cannot be sure that submission of an IND application will result in the FDA or comparable foreign regulatory authorities allowing further clinical trials to begin, or that, once begun, issues will not arise that lead us to suspend or terminate such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73685"/>
                <wp:effectExtent l="0" t="0" r="0" b="0"/>
                <wp:wrapNone/>
                <wp:docPr id="57" name="Frame5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Manufacturing</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Gene therapies are novel, complex and difficult to manufacture. We could experience manufacturing problems that result in delays in the development or commercialization of our product candidates or otherwise harm our business.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manufacture of gene therapy products is technically complex and necessitates substantial expertise and capital investment. Production difficulties caused by unforeseen events may delay the availability of material for our clinical studies. While we have established our own manufacturing facility to provide clinical and commercial supply of our product candidates, we expect to rely on contract manufacturers for certain portions of our manufacturing needs for the foreseeable future, such as those related to research grade material for our early preclinical studies.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manufacturers of biological and pharmaceutical products must comply with strictly enforced cGMP requirements, state and federal regulations, as well as foreign requirements when applicable. Any failure of us or our CDMOs to adhere to or document compliance with such regulatory requirements could lead to a delay or interruption in the availability of our program materials for clinical trials or enforcement action from the FDA, EMA or other foreign regulatory authorities. If we or our manufacturers were to fail to comply with the FDA, EMA or other regulatory authority, it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and our ability to commercialize any product candidates that receive regulatory approval on a timely and competitive basis.</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Biological products are inherently difficult to manufacture. Although we believe that the manufacture of our product candidates may be simplified due to their shared raw materials and other similarities, we cannot be certain that this will be the case and we may be required to develop manufacturing methods that ultimately differ significantly between product candidates, which would require that we invest substantial time and capital to develop suitable manufacturing methods. Our program materials are manufactured using technically complex processes requiring specialized equipment and facilities, highly specific raw materials, cells, and reagents, and other production constraints. Our production process requires a number of highly specific raw materials, cells and reagents with limited suppliers. Even though we aim to have backup supplies of raw materials, cells and reagents whenever possible, we cannot be certain those supplies will be sufficient if our primary sources are unavailable. </w:t>
      </w:r>
      <w:r>
        <w:rPr>
          <w:rFonts w:ascii="Times New Roman;serif" w:hAnsi="Times New Roman;serif"/>
          <w:b w:val="false"/>
          <w:color w:val="000000"/>
          <w:sz w:val="20"/>
        </w:rPr>
        <w:t xml:space="preserve">One or more of our suppliers is the sole source of certain materials used by us in our manufacturing process, </w:t>
      </w:r>
      <w:r>
        <w:rPr>
          <w:rFonts w:ascii="Times New Roman;serif" w:hAnsi="Times New Roman;serif"/>
          <w:b w:val="false"/>
          <w:color w:val="000000"/>
          <w:sz w:val="20"/>
          <w:shd w:fill="FFFFFF" w:val="clear"/>
        </w:rPr>
        <w:t>and</w:t>
      </w:r>
      <w:r>
        <w:rPr>
          <w:color w:val="000000"/>
        </w:rPr>
        <w:t xml:space="preserve"> </w:t>
      </w:r>
      <w:r>
        <w:rPr>
          <w:rFonts w:ascii="Times New Roman;serif" w:hAnsi="Times New Roman;serif"/>
          <w:b w:val="false"/>
          <w:color w:val="000000"/>
          <w:sz w:val="20"/>
        </w:rPr>
        <w:t xml:space="preserve">a disruption of the supply of those materials could also negatively impact our ability to manufacture clinical supply as we would have to suspend or revise our operations to accommodate for any disruption in the supply of those materials. </w:t>
      </w:r>
      <w:r>
        <w:rPr>
          <w:rFonts w:ascii="Times New Roman;serif" w:hAnsi="Times New Roman;serif"/>
          <w:b w:val="false"/>
          <w:color w:val="000000"/>
          <w:sz w:val="20"/>
          <w:shd w:fill="FFFFFF" w:val="clear"/>
        </w:rPr>
        <w:t>A shortage of a critical raw material, cell line, or reagent, or a technical issue during manufacturing, may lead to delays in clinical development or commercialization plans. We are particularly susceptible to any shortages, delays or inability to obtain suitable raw materials, given that all of our current and planned product candidates require this starting material. Any changes in the manufacturing of components of the raw materials we use could result in unanticipated or unfavorable effects in our manufacturing processes, resulting in delays. The raw materials we use may also be sensitive to certain environmental factors, may change over time, or may be of inconsistent quality which could cause small variances in the biological assays between manufacturing lots. If we experience significant variability between our manufacturing lots, we may be required to perform additional testing for safety and efficacy prior to seeking approval for such product candidate, which could delay our development process. </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Once the biological products are manufactured, the product must be analyzed utilizing assays and meet pre-determined specifications in order to be used in certain preclinical studies, in any clinical trial, and, if approval is obtained, for commercial distribution. This testing is performed in-house and at third-party contract manufacturers. Delays or other unexpected obstacles in developing analytical methods or in performing the tests and obtaining the results in-house or at a third-party contractor could result in unanticipated impact to our ability to supply material as needed for preclinical, clinical, or commercial needs.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and our contract manufacturers for AAV9 are subject to significant regulation with respect to manufacturing of our products. The third-party manufacturing facilities on which we rely, our in-house manufacturing facility, and any manufacturing facility that we may have in the future, may have limited capacity or fail to meet the applicable stringent regulatory requirements.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currently have relationships with a limited number of suppliers for the raw materials, including plasmids and virus banks, required by the manufacturing processes of our product candidates. Virus intended for use in our early preclinical studies has been and can be externally supplied; however, if we experience slowdowns or problems with our 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73685"/>
                <wp:effectExtent l="0" t="0" r="0" b="0"/>
                <wp:wrapNone/>
                <wp:docPr id="58" name="Frame5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house manufacturing facility and are unable to establish or scale our internal manufacturing capabilities, we will need to continue to contract with manufacturers to produce the preclinical, clinical and commercial supply and such supply will be more uncertain and subject to delays. In addition, each supplier may require licenses to manufacture certain components of the supply if such processes are not owned by the supplier or in the public domain and we may be unable to license such intellectual property rights on reasonable commercial terms or to transfer or sublicense the intellectual property rights we may have with respect to such activities.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entities involved in the preparation of therapeutics for clinical trials or commercial sale, including our existing contract manufacturers for components of our product candidates, are subject to extensive regulation. Components of a finished therapeutic product approved for commercial sale or used in late-stage clinical trials must be manufactured in accordance with cGMP. These regulations govern manufacturing processes and procedures (including recordkeeping)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biologics license application (“BLA”) or marketing authorization application (“MAA”) on a timely basis. Our facilities and quality systems and the facilities and quality systems of some or all of our third-party contractors must pass a pre-approval inspection for compliance with the applicable regulations as a condition of regulatory approval of our current or future product candidates. In addition, regulatory authorities may, at any time, audit or inspect a manufacturing facility involved with the preparation of our current or future product candidates or the associated quality systems for compliance with the regulations applicable to the activities being conducted, and they could put a hold on one or more of our clinical trials if the facilities of our CDMOs do not pass such audit or inspections. If these facilities do not pass a pre-approval plant inspection, the FDA or other foreign regulatory agency approval of the products will not be granted.</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Regulatory authorities also may, at any time following approval of a product for sale, inspect or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third-party manufacturers fail to maintain regulatory compliance, the FDA or other foreign regulatory agencies can impose regulatory sanctions including, among other things, refusal to approve a pending application for a new drug product or biologic product, or revocation of a pre-existing approval. As a result, our business, financial condition and results of operations may be harmed.</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Additionally, if supply from one approved manufacturer is interrupted, there could be a significant disruption in commercial supply. An alternative manufacturer would need to be qualified through a BLA and/or MAA supplement,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factors could cause the delay of clinical trials, regulatory submissions, required approvals or commercialization of our product candidates, cause us to incur higher costs and prevent us from commercializing our products successfully, if approved. Further, if our suppliers fail to meet contractual requirements, and we are unable to secure one or more replacement suppliers capable of production at a substantially equivalent cost, our clinical trials may be delayed or we could lose future potential revenue, if any.</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depend on third-party suppliers for materials used in the manufacture of our product candidates, and the loss of these third-party suppliers or their inability to supply us with adequate materials could harm our business.</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We rely on third-party suppliers for certain materials and components required for the production of our product candidates. Our dependence on these third-party suppliers and the challenges we may face in obtaining adequate supplies of materials involve several risks, including limited control over pricing, availability and quality of supplies and delivery schedules. There is substantial demand and limited supply for certain of the raw materials used to manufacture gene therapy products. As a small company, our negotiation leverage is limited and we are likely to get lower priority than our larger competitors. We cannot be certain that our suppliers will continue to provide us with the quantities of raw materials that we require or satisfy our anticipated specifications and quality requirements. </w:t>
      </w:r>
      <w:r>
        <w:rPr>
          <w:rFonts w:ascii="Times New Roman;serif" w:hAnsi="Times New Roman;serif"/>
          <w:b w:val="false"/>
          <w:color w:val="000000"/>
          <w:sz w:val="20"/>
        </w:rPr>
        <w:t xml:space="preserve">One or more of our suppliers is the sole source of certain materials used by us in our manufacturing process, and a disruption of the supply of those materials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73685"/>
                <wp:effectExtent l="0" t="0" r="0" b="0"/>
                <wp:wrapNone/>
                <wp:docPr id="59" name="Frame5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pPr>
      <w:r>
        <w:rPr>
          <w:rFonts w:ascii="Times New Roman;serif" w:hAnsi="Times New Roman;serif"/>
          <w:b w:val="false"/>
          <w:color w:val="000000"/>
          <w:sz w:val="20"/>
        </w:rPr>
        <w:t>also negatively impact our ability to manufacture clinical supply as we would have to suspend or revise our operations to accommodate for any disruption in the supply of those materials.</w:t>
      </w:r>
      <w:r>
        <w:rPr>
          <w:color w:val="000000"/>
          <w:shd w:fill="FFFFFF" w:val="clear"/>
        </w:rPr>
        <w:t xml:space="preserve"> </w:t>
      </w:r>
      <w:r>
        <w:rPr>
          <w:rFonts w:ascii="Times New Roman;serif" w:hAnsi="Times New Roman;serif"/>
          <w:b w:val="false"/>
          <w:color w:val="000000"/>
          <w:sz w:val="20"/>
          <w:shd w:fill="FFFFFF" w:val="clear"/>
        </w:rPr>
        <w:t>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Delays in developing our manufacturing capabilities or failure to achieve operating efficiencies from such capabilities may require us to devote additional resources and management time to manufacturing operations for future product candidates and may delay our product development timelines.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a GMP manufacturing facility located in Houston, Texas that includes process, analytical and bioanalytical development labs with experienced teams. NGN-401 was manufactured at our Houston facility and clinical-grade product was used for dosing in the Phase 1/2 clinical trial of NGN-401 and the Embolden trial. We expect to conduct manufacturing campaigns in the future to generate supply of other product candidates for our preclinical studies for our discovery programs, however we may not be able to satisfy such supply through production at our own facility and may need to outsource some or all of our production work.</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risks relating to the manufacture of biologics and drug products include: production interruptions, delays in quality/release testing, equipment malfunctions, facility contamination, labor problems, natural disasters, disruption in utility services, terrorist activities, war, cases of force majeure, weather-related events, acts of God (such as public health crises) or other events beyond our control and, in each case, could result in delays in our production or difficulties in maintaining compliance with applicable regulatory requirements.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Any contamination or interruption in our manufacturing process, shortages of raw materials or failure of our suppliers to deliver necessary components could result in delays in our clinical development or marketing schedules.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Given the nature of gene therapy manufacturing, there is a risk of contamination. Any contamination could adversely affect our ability to produce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not be able to successfully manufacture our product candidates in sufficient quality and quantity, which would delay or prevent us from developing our product candidates and commercializing resulting approved products, if any.</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date, we have manufactured NGN-401 in quantities and quality adequate for preclinical, toxicology and clinical studies. In order to conduct clinical trials for a product candidate and for commercialization of the resulting product if that product candidate is approved for sale, we will need to manufacture future product candidates in additional cGMP campaigns which may also require us to manufacture using larger batch sizes. We may not be able to successfully manufacture sufficient quantity, including any necessary increases in manufacturing capacity, for any of our future product candidates in a timely or cost-effective manner or at all. Significant changes or scale-up of manufacturing may require additional validation studies and/or analytical comparability studies, which are costly and which regulatory authorities must review and approve. In addition, quality issues may arise during those changes or scale-up activities. If we are unable to successfully manufacture any of our future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73685"/>
                <wp:effectExtent l="0" t="0" r="0" b="0"/>
                <wp:wrapNone/>
                <wp:docPr id="60" name="Frame5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Changes in methods of product candidate manufacturing or formulation may result in additional costs or delay.</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approval from the FDA or foreign regulatory agencies.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 In addition, we may be required to make significant changes to our upstream and downstream processes across our pipeline, which could delay the development of our future product candidates.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Our Reliance on Third Parties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have a number of academic collaborations, and currently rely on our collaboration with the University of Edinburgh for certain aspects of our preclinical research and development programs, including working in collaboration to discover and preclinically develop our potential product candidates for our near-term future pipeline. Failure or delay of the University of Edinburgh or any other collaborator to fulfill all or part of its obligations under our agreements, a breakdown in collaboration between the parties or a complete or partial loss of the relationship would materially harm our business.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discovery engine is supplemented by academic collaborations to expand our platform, which we rely upon to advance discovery and development of product candidates. For example, our collaboration with the University of Edinburgh is critical to our business. In December 2020, we entered into a Master Collaboration Agreement (the “MCA”) with the University of Edinburgh, which we rely on to conduct certain aspects of the preclinical development of our pipeline candidates, including NGN-401 and all of our early-stage pipeline product candidates. Further, in March 2022, we entered into an exclusive license agreement with the University of Edinburgh for, with respect to certain University of Edinburgh-owned technology, a worldwide, exclusive, sublicensable license to develop, have developed, use, manufacture, have manufactured, supply, have supplied, sell, have sold, offer for sale, commercialize, import, export, register, reproduce, dispose of or otherwise exploit any products, processes, components, services and/or technologies incorporating the technology for the prevention or treatment of disease or medical or genetic conditions in humans. We also currently rely on the University of Edinburgh for portions of preclinical research capabilities under the direction of Dr. Stuart Cobb, Professor in Translational Neuroscience at the University of Edinburgh and our Chief Scientific Officer. Pursuant to the MCA, we and the University of Edinburgh agreed to collaborate on certain research and development projects (the “Projects”), and we agreed to provide funding for such Projects. In exchange for such funding, the University of Edinburgh grants us an option to exclusively license any intellectual property arising from such Projects. Either party has the right in certain circumstances to terminate the collaboration pursuant to the terms of the MCA. If the MCA is not renewed or is terminated, our pipeline of product candidates would be significantly adversely affected, and our business would be materially harmed.</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Following an amendment to the MCA in November 2023, the term of the research funding portion of the MCA, under which we have the ability to acquire exclusive rights to additional technology and gene therapy products, now expires in December 2026. If we need to extend the term of this provision beyond that date, we will need to negotiate an additional extension with the University of Edinburgh, and we may not be able to agree on such an extension on terms that are acceptable to us, or at all. We may have disagreements with the University of Edinburgh with respect to the interpretation of the MCA, use of resources or otherwise that could cause our relationship to deteriorate. As a result, the University of Edinburgh may reduce focus on, and resources allocated to, our programs, potentially delaying or terminating our ability to advance product candidates through preclinical studies. Additionally, if Dr. Cobb were to leave the University of Edinburgh or to otherwise no longer be meaningfully involved with us, our preclinical research and development capabilities may be substantially reduced.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73685"/>
                <wp:effectExtent l="0" t="0" r="0" b="0"/>
                <wp:wrapNone/>
                <wp:docPr id="61" name="Frame6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Further, under the MCA, the University of Edinburgh is primarily responsible for prosecuting and maintaining our licensed intellectual property, and it may fail to properly prosecute, maintain or defend such intellectual property. In such event, if we are unable to otherwise maintain or defend such intellectual property, we could face the potential invalidation of the intellectual property or be subjected to litigation or arbitration, any of which would be time-consuming and expensive. To enforce the licensed intellectual property rights under the MCA, we will need to coordinate with the University of Edinburgh, which could slow down or hamper our ability to enforce our licensed intellectual property rights. If this happens, we could face increased competition that could materially and adversely affect our business. </w:t>
      </w:r>
      <w:r>
        <w:rPr>
          <w:rFonts w:ascii="Times New Roman;serif" w:hAnsi="Times New Roman;serif"/>
          <w:b w:val="false"/>
          <w:color w:val="000000"/>
          <w:sz w:val="20"/>
        </w:rPr>
        <w:t>For a further description of the MCA, see “</w:t>
      </w:r>
      <w:r>
        <w:rPr>
          <w:rFonts w:ascii="Times New Roman;serif" w:hAnsi="Times New Roman;serif"/>
          <w:b w:val="false"/>
          <w:i/>
          <w:color w:val="000000"/>
          <w:sz w:val="20"/>
        </w:rPr>
        <w:t>Management’s Discussion and Analysis of Financial Condition and Results of Operations—License and Collaboration Agreements</w:t>
      </w:r>
      <w:r>
        <w:rPr>
          <w:rFonts w:ascii="Times New Roman;serif" w:hAnsi="Times New Roman;serif"/>
          <w:b w:val="false"/>
          <w:color w:val="000000"/>
          <w:sz w:val="20"/>
        </w:rPr>
        <w:t>.”</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also currently have or may in the future engage in other academic collaborations to supplement our internal discovery and product development program. While these academic institutions have contractual obligations to us, they are independent entities and are not under our control or the control of our officers or directors. Our research and licensing agreements with academic collaborators generally provide academic collaborators with license maintenance fees, development and regulatory milestone payments, royalties on net sales of products and a portion of sublicense income that we receive. Upon the scheduled expiration of any academic collaboration, we may not be able to renew the related agreement, or any renewal could be on terms less favorable to us than those contained in the existing agreement. Furthermore, either we or the academic institution generally may terminate the sponsored research agreement for convenience following a specified notice period. If any of these academic institutions decides to not renew or to terminate the related agreement or decides to devote fewer resources to such activities, our discovery efforts would be diminished, while our royalty obligations, if any, would continue unmodified.</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currently rely, and intend in the future to rely, on third parties to conduct a significant portion of our preclinical studies and existing clinical trials and potential future clinical trials for product candidates, and those third parties may not perform satisfactorily, including failing to meet deadlines for the completion of such trials.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engaged CROs or other third parties to conduct preclinical and IND enabling studies and our clinical trials, including our Phase 1/2 clinical trial and our Embolden trial of NGN-401. We currently use CDMOs to provide certain research-grade materials and to assist in preparation for a potential Biologics License Application submission to the FDA, and may in the future use CDMOs for future clinical trials for other product candidates or in the manufacture and distribution of commercial products if we are successful in gaining regulatory approval for any of our product candidates.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expect to continue to rely on third parties, including CROs, medical institutions and clinical investigators, to conduct those clinical trials, and to rely on CDMOs for some of our research activities and potentially for clinical trials in the future.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do so on commercially reasonable terms, if at all. For example,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CROs and with all of our other third party providers, there can be no assurance that we will not encounter challenges or delays in the future or that these delays or challenges will not have a material adverse impact on our business and financial condition.</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any third parties conducting our clinical trials will not be our employees, and except for remedies available to us under our agreements with such third parties, we cannot control whether or not such third parties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we may incur additional and unexpected costs related to such failures,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Further, while our reliance on these third parties for research and development activities will reduce our control over these activities, we will not be relieved of our responsibilities for ensuring that each of our studies and trials is conducted in accordance with the applicable protocol, legal, regulatory and scientific standards. For example, we will remain responsible for ensuring that each of our clinical trials is conducted in accordance with the general investigational plan and protocols for the trial. Moreover, the FDA requires us to comply with GCPs for conducting, recording and reporting the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73685"/>
                <wp:effectExtent l="0" t="0" r="0" b="0"/>
                <wp:wrapNone/>
                <wp:docPr id="62" name="Frame6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 If we or any of our CROs or other third parties, including trial sites, fail to comply with applicable GCPs, the clinical data generated in our clinical trials may be deemed unreliable and the FDA, MHRA,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products produced under cGMP conditions. Our failure to comply with these regulations, or the failure of any CDMO that we may use in the future for clinical trials to so comply, may require us to repeat clinical trials, which would delay the regulatory approval process.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NGN-401 or any other product candidates.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currently store drug product for clinical trial sites in the United States, and currently rely on and expect in the future to rely on third parties to distribute product supplies for our clinical trials, as well as to store and distribute supply for clinical trial sites outside of the United States. Any performance failure on the part of us or our distributors could result in an unexpected increase in costs to us, delay clinical development or marketing approval of our product candidates or commercialization of our products, if approved, producing additional losses and depriving us of potential revenue.</w:t>
      </w:r>
    </w:p>
    <w:p>
      <w:pPr>
        <w:pStyle w:val="TextBody"/>
        <w:bidi w:val="0"/>
        <w:spacing w:lineRule="auto" w:line="288" w:before="200" w:after="283"/>
        <w:ind w:left="0" w:right="0" w:firstLine="450"/>
        <w:jc w:val="both"/>
        <w:rPr/>
      </w:pPr>
      <w:r>
        <w:rPr>
          <w:rFonts w:ascii="Times New Roman;serif" w:hAnsi="Times New Roman;serif"/>
          <w:b w:val="false"/>
          <w:color w:val="000000"/>
          <w:sz w:val="20"/>
        </w:rPr>
        <w:t>Our operations and financial condition also may be negatively impacted as a result of delays or increased costs arising from trade restrictions, tariffs or other extraordinary taxes, and other foreign regulatory requirements affecting our collaborators. We cur</w:t>
      </w:r>
      <w:r>
        <w:rPr>
          <w:rFonts w:ascii="Times New Roman;serif" w:hAnsi="Times New Roman;serif"/>
          <w:b w:val="false"/>
          <w:color w:val="000000"/>
          <w:sz w:val="20"/>
          <w:shd w:fill="FFFFFF" w:val="clear"/>
        </w:rPr>
        <w:t>rently rely to some degree on foreign CROs, and may need to rely on foreign CROs and CDMOs in the future. We or the</w:t>
      </w:r>
      <w:r>
        <w:rPr>
          <w:color w:val="000000"/>
        </w:rPr>
        <w:t xml:space="preserve"> </w:t>
      </w:r>
      <w:r>
        <w:rPr>
          <w:rFonts w:ascii="Times New Roman;serif" w:hAnsi="Times New Roman;serif"/>
          <w:b w:val="false"/>
          <w:color w:val="000000"/>
          <w:sz w:val="20"/>
        </w:rPr>
        <w:t xml:space="preserve">foreign CROs or CDMOs we may work with may be subject to U.S. legislation, including the BIOSECURE Act and related implementation timelines, sanctions, trade restrictions, increased taxes or tariffs and other foreign regulatory </w:t>
      </w:r>
      <w:r>
        <w:rPr>
          <w:rFonts w:ascii="Times New Roman;serif" w:hAnsi="Times New Roman;serif"/>
          <w:b w:val="false"/>
          <w:color w:val="000000"/>
          <w:sz w:val="20"/>
          <w:shd w:fill="FFFFFF" w:val="clear"/>
        </w:rPr>
        <w:t>requirements</w:t>
      </w:r>
      <w:r>
        <w:rPr>
          <w:color w:val="000000"/>
        </w:rPr>
        <w:t xml:space="preserve"> </w:t>
      </w:r>
      <w:r>
        <w:rPr>
          <w:rFonts w:ascii="Times New Roman;serif" w:hAnsi="Times New Roman;serif"/>
          <w:b w:val="false"/>
          <w:color w:val="000000"/>
          <w:sz w:val="20"/>
        </w:rPr>
        <w:t>which could increase the cost or reduce the supply of certain materials we use, delay the procurement or supply of such material or disrupt our supply chain for certain raw materials or medical devices necessary for our clinical trial. For example, following the significant tariffs imposed by the United States federal government in 2025, continued and expanding restrictions on goods, including biologically derived substances, manufactured or imported from China, have restricted companies’ ability to work with certain Chinese biotechnology companies or other foreign counterparties. To the extent these or future tariffs are applicable to the material we may import from China and other countries or if we are not able to secure supply of our product candidates as a result of applicable legislation, our business and financial condition could be adversely affected.</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Our Business and Operations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 order to successfully implement our plans and strategies, we will need to grow the size of our organization and we may experience difficulties in managing this growth.</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Over time, we expect to experience significant growth in the number of our employees and the scope of our operations, particularly in the areas of preclinical and clinical biological product development, technical operations, clinical operations, regulatory affairs, manufacturing and, potentially, sales, marketing and distribution. To manage our anticipated future growth, we must continue to implement and improve our managerial, operational and financial personnel and systems, expand our facilities and recruit and train additional qualified personnel. Due to our limited financial resources and the limited experience of our management team working together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73685"/>
                <wp:effectExtent l="0" t="0" r="0" b="0"/>
                <wp:wrapNone/>
                <wp:docPr id="63" name="Frame6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are highly dependent on our key personnel and anticipate hiring new key personnel. If we are not successful in attracting and retaining highly qualified personnel, we may not be able to successfully implement our business strategy.</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ability to compete in the highly competitive biotechnology and pharmaceutical industries depends upon our ability to attract and retain highly qualified managerial, scientific and medical personnel. We are highly dependent on our managerial, scientific and medical personnel, including our Founder and Chief Executive Officer, President and Chief Financial Officer, Chief Medical Officer, Chief Scientific Officer, Chief Commercial Officer and Senior Vice President of Technical Operations, as well as other key members of our leadership team. Our executive officers and other key personnel may terminate their employment with us at any time. We do not maintain “key person” insurance for any of our executives or other employees.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personnel may be difficult and may take an extended period of time. Failure to attract and retain qualified personnel could materially and adversely affect our business, financial condition and results of operations. We could in the future have difficulty attracting and retaining experienced personnel and may be required to expend significant financial resources on our employee recruitment and retention efforts.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future growth may depend, in part, on our ability to operate in foreign markets, where we would be subject to additional regulatory burdens and other risks and uncertainties.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future growth may depend, in part, on our ability to develop and commercialize NGN-401 or other product candidates in foreign markets for which we may rely on collaborations with third parties. For example, in early April 2026, the U.S. Administration issued a proclamation under Section 232 of the Trade Expansion Act of 1962 determining that imports of certain pharmaceutical products, including patented pharmaceuticals, associated active pharmaceutical ingredients and related materials could threaten U.S. national security and authorized the imposition of tariffs of up to 100% on covered imports, beginning July 31, 2026 (the “Pharmaceutical Tariffs”). Imports of certain listed products from specific partner countries, including South Korea and the European Union, may be subject to reduced tariff rates. Certain tariff exemptions or zero-rate treatment may be available for products where all approved indications are designated as orphan, subject to applicable determinations, conditions and implementation guidance. There remains substantial uncertainty as to the implementation and potential impacts of such tariffs, the duration of existing tariff levels, and whether additional tariffs or other retaliatory actions may be imposed, modified or suspended. For example, the U.S. Supreme Court ruled in February 2026 that certain tariffs imposed by the U.S. federal government under the International Emergency Economic Powers Act exceeded presidential authority and therefore are invalid. However, tariffs imposed under different statutes (including the Pharmaceutical Tariffs, if implemented) were not directly impacted by the decision and therefore remain in place. These actions and the related rising political tensions could negatively impact global macroeconomic conditions and the stability of global financial markets, which could have a material adverse effect on our business, financial condition and results of operations, including through increased supply chain costs.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not permitted to market or promote any product candidates before we receive regulatory approval from the applicable foreign regulatory authority, and may never receive such regulatory approval for any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NGN-401 or other product candidates, and we cannot predict success in these jurisdictions. If we fail to comply with the regulatory requirements in international markets or to receive applicable marketing approvals, our target market will be reduced and our ability to realize the full market potential of NGN-401 or other product candidates will be harmed and our business will be adversely affected. Moreover, even if we obtain approval of NGN-401 or other product candidates and ultimately commercialize such product candidates in foreign markets, we would be subject to the risks and uncertainties of operating in such foreign markets, including the burden of complying with complex and changing foreign regulatory, tax, accounting and legal requirements and reduced protection of intellectual property rights in some foreign countries.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employees, independent contractors, consultants, commercial collaborators, principal investigators, CROs, CDMOs, suppliers and vendors may engage in misconduct or other improper activities, including noncompliance with regulatory standards and requirements.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exposed to the risk that our employees, independent contractors, consultants, commercial collaborators, principal investigators, CROs, CDMOs, suppliers and vendors acting for or on our behalf may engage in misconduct or other improper activities. It is not always possible to identify and deter misconduct by these parties and the precautions we take to detect and prevent this activity may not be effective in controlling unknown or unmanaged risks or losses or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73685"/>
                <wp:effectExtent l="0" t="0" r="0" b="0"/>
                <wp:wrapNone/>
                <wp:docPr id="64" name="Frame6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protecting us from governmental investigations or other actions or lawsuits stemming from a failure to comply with these laws or regulations.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systems, or those of any of our CROs, CDMOs, manufacturers, other contractors, third party service providers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Despite the implementation of security measures in an effort to protect systems that store our information, given the size and complexity of such systems and the increasing amounts of information maintained on our internal information technology systems and those of our third-party CROs, CDMOs, other contractors (including sites performing our clinical trials), third-party service providers and supply chain companies, consultants and other partners,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which may compromise our system infrastructure or lead to the loss, destruction, alteration or dissemination of, or damage to, our data. From time to time, we are subject to business email compromise attack attempts. In August 2023, we discovered a business email compromise attack that resulted in the misappropriation of approximately $0.9 million. While we have implemented remedial measures in response to this incident and recovered $0.8 million of those losses through insurance claims, we cannot guarantee that such measures will prevent additional related, as well as unrelated incidents, or that we will be able to defend against or successfully remediate any such attacks that may occur in the future. If a material system failure, accident or security breach were to occur and cause interruptions in our operations or the operations of third-party collaborators, service providers, contractors and consultants, it could result in a material disruption of our development programs and significant reputational, financial, legal, regulatory, business or operational harm.</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 since we sponsor clinical trials, any breach that compromises patient data and identities causing a breach of privacy could have significant adverse consequences on our business. For example, the loss of clinical trial data from completed or future clinical trials could affect trust in us, negatively impacting our ability to recruit for future clinical trials, result in delays in our regulatory approval efforts and significantly increase our costs to recover or reproduce the data. To the extent that any disruption or security breach were to result in a loss, destruction, unavailability, alteration or dissemination of, or damage to, our data or applications, or inappropriate disclosure of confidential proprietary information, or for it to be believed or reported that any of these occurred, we could incur liability and reputational damage and the development and commercialization of NGN-401 or other product candidates could be delayed.</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our employees work remotely and use network connections, computers, and devices outside of our premises or network, including working at home, while in transit and in public locations, there are risks to our information technology systems and data. Additionally, business transactions (such as acquisitions or integrations) could expose us to additional cybersecurity risks and vulnerabilities, as our systems could be negatively affected by vulnerabilities present in acquired or integrated entities’ systems and technologies.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Applicable data privacy and security obligations may require us to notify relevant stakeholders, patients or other individuals, regulators or, in certain circumstances, the media of security incidents. Such disclosures are costly, and the disclosure or the failure to comply with such requirements could lead to adverse consequences, including damage to our reputation.</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rely on third-party service providers and technologies to operate critical business systems, including to process sensitive information in a variety of contexts.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as a result. While we may be entitled to damages if our third-party service providers fail to satisfy their privacy or security-related obligations to us, any award may be insufficient to cover our monetary, reputational and other damages, or we may be unable to recover such award. In addition, supply-chain attacks have increased in frequency and severity, and we cannot guarantee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73685"/>
                <wp:effectExtent l="0" t="0" r="0" b="0"/>
                <wp:wrapNone/>
                <wp:docPr id="65" name="Frame6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that third parties’ infrastructure in our supply chain or our third-party partners’ supply chains have not been and will not be compromised.</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we (or a third party upon whom we rely) experiences a security incident or is perceived to have experienced a security incident, we may experience adverse consequences, such as government enforcement actions (for example, investigations, fines, penalties, audits, and inspections); additional reporting requirements and/or oversight; restrictions on processing personal information (including sensitive data); litigation (including class claims); indemnification obligations; negative publicity; reputational harm; monetary fund diversions; interruptions in our operations (including availability of data); increased investigation and compliance costs; financial loss; and other similar harms. Security incidents and attendant consequences may cause our stakeholders (including investors and potential customers) to stop supporting our business, deter new customers from our products, deter patients from participating in clinical trials and negatively impact our ability to grow and operate our business.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or from disruptions in, or failure or security breach of, our systems or third-party systems where information important to our business operations or commercial development is stored, or that such coverage will continue to be available on commercially reasonable terms or at all, or that such coverage will pay future claims.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injunctive restrictions on data processing and/or adverse publicity and could negatively affect our operating results and business.</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We, and third parties with whom we work, are or may become subject to numerous domestic and foreign laws, regulations, and standards relating to privacy, data protection, and data security, the scope of which is changing, subject to differing applications and interpretations, and may be inconsistent among countries, or conflict with other rules. For example, the BIOSECURE Act, enacted in December 2025, restricts the ability of federal agencies and their contractors to work with designated “biotechnology companies of concern.” The implementation of this Act, including the forthcoming publication of a comprehensive list of restricted entities by the Office of Management and Budget, may require us to terminate or transition existing relationships with certain third-party service providers, which could disrupt our data processing capabilities or clinical trial operations. We are or may become subject to the terms of contractual obligations related to privacy, data protection, and data security. Our obligations continue to change and expand as our business grows, particularly with the proliferation of state-level comprehensive privacy laws in the U.S. The actual or perceived failure by us or third parties related to us to comply with such laws, regulations and obligations could increase our compliance and operational costs, expose us to regulatory scrutiny, actions, fines and penalties, result in reputational harm, lead to a loss of customers, result in litigation and liability,</w:t>
      </w:r>
      <w:r>
        <w:rPr>
          <w:color w:val="000000"/>
        </w:rPr>
        <w:t xml:space="preserve"> </w:t>
      </w:r>
      <w:r>
        <w:rPr>
          <w:rFonts w:ascii="Times New Roman;serif" w:hAnsi="Times New Roman;serif"/>
          <w:b w:val="false"/>
          <w:color w:val="000000"/>
          <w:sz w:val="20"/>
          <w:shd w:fill="FFFFFF" w:val="clear"/>
        </w:rPr>
        <w:t>subject us to injunctive restrictions on data processing, adversely impact our ability to appropriately manage third parties with whom we work and otherwise cause a material adverse effect on our business, financial condition, and results of operations.</w:t>
      </w:r>
      <w:r>
        <w:rPr>
          <w:color w:val="000000"/>
        </w:rPr>
        <w:t xml:space="preserve"> </w:t>
      </w:r>
      <w:r>
        <w:rPr>
          <w:rFonts w:ascii="Times New Roman;serif" w:hAnsi="Times New Roman;serif"/>
          <w:b w:val="false"/>
          <w:color w:val="000000"/>
          <w:sz w:val="20"/>
        </w:rPr>
        <w:t>See “</w:t>
      </w:r>
      <w:r>
        <w:rPr>
          <w:rFonts w:ascii="Times New Roman;serif" w:hAnsi="Times New Roman;serif"/>
          <w:b w:val="false"/>
          <w:i/>
          <w:color w:val="000000"/>
          <w:sz w:val="20"/>
        </w:rPr>
        <w:t>Business—Government Regulation—Data Privacy and Security” and “—Other Regulatory Matters</w:t>
      </w:r>
      <w:r>
        <w:rPr>
          <w:color w:val="000000"/>
        </w:rPr>
        <w:t xml:space="preserve">” </w:t>
      </w:r>
      <w:r>
        <w:rPr>
          <w:rFonts w:ascii="Times New Roman;serif" w:hAnsi="Times New Roman;serif"/>
          <w:b w:val="false"/>
          <w:color w:val="000000"/>
          <w:sz w:val="20"/>
        </w:rPr>
        <w:t>in our Annual Report on Form 10-K for a more detailed description of the laws that may affect our ability to operate.</w:t>
      </w:r>
    </w:p>
    <w:p>
      <w:pPr>
        <w:pStyle w:val="TextBody"/>
        <w:bidi w:val="0"/>
        <w:spacing w:lineRule="auto" w:line="288" w:before="240" w:after="283"/>
        <w:ind w:left="0" w:right="0" w:firstLine="360"/>
        <w:jc w:val="both"/>
        <w:rPr/>
      </w:pPr>
      <w:r>
        <w:rPr>
          <w:rFonts w:ascii="Times New Roman;serif" w:hAnsi="Times New Roman;serif"/>
          <w:b/>
          <w:i/>
          <w:color w:val="000000"/>
          <w:sz w:val="20"/>
        </w:rPr>
        <w:t xml:space="preserve">If we fail to comply with environmental, health and safety laws and regulations, we could become subject </w:t>
      </w:r>
      <w:r>
        <w:rPr>
          <w:rFonts w:ascii="Times New Roman;serif" w:hAnsi="Times New Roman;serif"/>
          <w:b/>
          <w:i/>
          <w:color w:val="000000"/>
          <w:sz w:val="20"/>
          <w:shd w:fill="FFFFFF" w:val="clear"/>
        </w:rPr>
        <w:t>to fines or penalties or incur costs that could have a material adverse effect on the success of our business.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ability to utilize our net operating loss carryforwards and certain other tax attributes may be limited.</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we had net operating loss (“NOL”) carryforwards for federal and state income tax purposes of </w:t>
      </w:r>
      <w:r>
        <w:rPr>
          <w:rFonts w:ascii="Times New Roman;serif" w:hAnsi="Times New Roman;serif"/>
          <w:b w:val="false"/>
          <w:color w:val="000000"/>
          <w:sz w:val="20"/>
        </w:rPr>
        <w:t>$372.2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$43.5 million</w:t>
      </w:r>
      <w:r>
        <w:rPr>
          <w:rFonts w:ascii="Times New Roman;serif" w:hAnsi="Times New Roman;serif"/>
          <w:b w:val="false"/>
          <w:color w:val="000000"/>
          <w:sz w:val="20"/>
          <w:shd w:fill="FFFFFF" w:val="clear"/>
        </w:rPr>
        <w:t xml:space="preserve">, respectively. The federal NOLs will not be subject to expiration and can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73685"/>
                <wp:effectExtent l="0" t="0" r="0" b="0"/>
                <wp:wrapNone/>
                <wp:docPr id="66" name="Frame6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carried forward indefinitely; however, they are limited to a deduction to 80% of annual taxable income. The state NOLs begin to expire in 2029. To the extent that our taxable income exceeds any current year operating losses, we plan to use our carryforwards to offset income that would otherwise be taxable. Also, for state income tax purposes, the extent to which states will conform to the federal laws is uncertain and there may be periods during which the use of NOL carryforwards is suspended or otherwise limited, which could accelerate or permanently increase state taxes owed. In addition, under Section 382 of the Code, changes in our ownership may limit the amount of our NOL carryforwards and tax credit carryforwards that could be utilized annually to offset our future taxable income, if any. This limitation would generally apply in the event of a cumulative change in ownership of more than 50% (as measured by value) among a stockholder or one or more groups of stockholders who own at least 5% of our stock within a three-year period. We have not performed an analysis to determine whether there has been an ownership change pursuant to Section 382. Any such limitation may significantly reduce our ability to utilize our NOL carryforwards and tax credit carryforwards before they expire. Any such limitation, whether as the result of a public offering, private placements, sales of our common stock by our existing stockholders or additional sales of our common stock by us, could have a material adverse effect on our results of operations in future years.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be subject to adverse legislative or regulatory tax changes that could negatively impact our financial condition.</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rules governing U.S. federal, state and local income taxation are constantly under review and modification by persons involved in the legislative process and by the Internal Revenue Service (“IRS”) and the U.S. Treasury Department. Changes to tax laws (which changes may have retroactive application) could adversely affect us or our stockholders. We assess the potential impact of various tax reform proposals and modifications to existing tax treaties in all jurisdictions where we have operations and employees to determine the potential effect on our business and any assumptions we have made and make about our future taxable income. We cannot predict whether any specific proposals will be enacted, the terms of any such proposals or what effect, if any, such proposals would have on our business if they were to be enacted.</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example, the United States enacted the Inflation Reduction Act of 2022 (the “IRA”), which implements, among other changes, a 1% excise tax on certain stock buybacks. In addition, beginning in 2022, the Tax Cuts and Jobs Act eliminated the option to deduct research and development expenditures and requires taxpayers to amortize them generally over five years for research activities conducted in the United States and over 15 years for research activities conducted outside the United States. On July 4, 2025, the U.S. Congress enacted the One Big Beautiful Bill Act (“OBBBA”), which includes a provision restoring the immediate deductibility of domestic research and development expenditures. While we do not expect any material impact of this change to our tax provision for existing research and development costs, as we are electing to continue to amortize our capitalized research and development expenses prior to 2025 using the same accounting treatment previously used as allowed under the OBBBA, future research and development expenses will be treated as immediately deductible. However, we have no assurance as to whether, when and how this provision may be subject to further amendment or repeal. Any such changes, or other similar changes, may adversely affect our effective tax rate, results of operation and financial condition.</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acquire businesses or products, or form strategic alliances, in the future, and may not realize the benefits of such acquisitions.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or products resulting from a strategic alliance or acquisition that delay or prevent us from realizing their expected benefits or enhancing our business. There is no assurance that, following any such acquisition, we will achieve the synergies expected in order to justify the transaction, which could result in a material adverse effect on our business and prospects.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maintain our cash at financial institutions, at times in balances that exceed federally-insured limits. The failure of financial institutions could adversely affect our ability to pay our operational expenses or make other payments.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cash held in non-interest-bearing and interest-bearing accounts at financial institutions can at times exceed the Federal Deposit Insurance Corporation (“FDIC”) insurance limits. If such banking institutions were to fail, we could lose all or a portion of those amounts held in excess of such insurance limitations. Any material loss that we may experience in the future or inability for a material time period to access our cash and cash equivalents could have an adverse effect on our ability to pay our operational expenses or make other payments, which could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73685"/>
                <wp:effectExtent l="0" t="0" r="0" b="0"/>
                <wp:wrapNone/>
                <wp:docPr id="67" name="Frame6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At the end of August 2023, we identified a material weakness in our internal control over financial reporting and may identify additional material weaknesses in the future that may cause us to fail to meet our reporting obligations or result in material misstatements of our financial statements. If our internal control over financial reporting or our disclosure controls and procedures are not effective, we may not be able to accurately report our financial results, prevent fraud or file our periodic reports in a timely manner, which may cause investors to lose confidence in our reported financial information and may lead to a decline in our share price.</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internal controls related to the cash disbursements process were not adequately designed to identify unauthorized payment requests, resulting in the identification of a material weakness. Specifically, at the end of August 2023, we discovered that we were subject to a business email compromise attack by a third party. This deficiency in our controls resulted in the diversion of payments to fraudulent bank accounts.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determined that certain internal controls required for safeguarding our cash assets were not properly designed due to insufficient specificity regarding our policies and procedures surrounding supplier banking information changes, not identifying segregation of duties, and insufficient training on exercising professional skepticism. We therefore implemented steps to remediate this control deficiency, including increasing communication of and training around our controls relating to changes made to information, emphasizing security awareness and the importance of professional skepticism and designing a process to review supplier information changes prior to release of payments. While our management determined based on the assessment of internal control over financial reporting that as of December 31, 2023, this material weakness had been remediated, there can be no assurance that the remediation plans we implemented relating to this business email compromise attack will be successful in preventing a repeat of that attack or that we will be able to avoid potential future material weaknesses. If we are unable to successfully remediate existing or any future material weakness in our internal control over financial reporting, or if we identify any additional material weaknesses, the accuracy and timing of our financial reporting may be adversely affected, we may be unable to maintain compliance with securities law and applicable stock exchange listing requirements regarding timely filing of periodic reports, investors may lose confidence in our financial reporting, and our stock price may decline as a result. We also could become subject to investigations by Nasdaq, the SEC or other regulatory authorities.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Intellectual Property</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ability to protect our patents and other proprietary rights is uncertain, exposing us to the possible loss of competitive advantage.</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We rely and expect to continue to rely upon a combination of patents, trademarks, trade secret protection and confidentiality agreements to protect the intellectual property related to our product candidates and technologies and to prevent third parties from unfairly competing with us. Our success depends in large part on our ability to obtain and maintain patent protection for platform technologies, including our EXACT transgene regulation platform, product candidates and their uses, as well as the ability to operate without infringing on or violating the proprietary rights of others.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we license</w:t>
      </w:r>
      <w:r>
        <w:rPr>
          <w:color w:val="000000"/>
        </w:rPr>
        <w:t xml:space="preserve"> </w:t>
      </w:r>
      <w:r>
        <w:rPr>
          <w:rFonts w:ascii="Times New Roman;serif" w:hAnsi="Times New Roman;serif"/>
          <w:b w:val="false"/>
          <w:color w:val="000000"/>
          <w:sz w:val="20"/>
        </w:rPr>
        <w:t>32 patent applications, i</w:t>
      </w:r>
      <w:r>
        <w:rPr>
          <w:rFonts w:ascii="Times New Roman;serif" w:hAnsi="Times New Roman;serif"/>
          <w:b w:val="false"/>
          <w:color w:val="000000"/>
          <w:sz w:val="20"/>
          <w:shd w:fill="FFFFFF" w:val="clear"/>
        </w:rPr>
        <w:t>ncluding U.S. patent applications, international patent applications under the Patent Cooperation Treaty or otherwise, and expect to continue to file patent applications in the United States and abroad related to discoveries and technologies that are important to our business. However, we may not be able to protect our intellectual property rights throughout the world and the legal systems in certain countries may not favor enforcement or protection of patents, trade secrets and other intellectual property. Filing, prosecuting and defending patents on product candidates worldwide would be prohibitively expensive and our intellectual property rights in some foreign jurisdictions may be less extensive than those in the United States. As such, we do not have patents in all countries or all major markets and may not be able to obtain patents in all jurisdictions even if we apply for them. Competitors may operate in countries where we do not have patent protection and could then freely use our technologies and discoveries in such countries to the extent such technologies and discoveries are publicly known or disclosed in countries where patent protection has not been requested. In addition, competitors may be able to design around our patents to create technologies that directly compete with ours without infringing our intellectual property.</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Our intellectual property portfolio is at an early stage.</w:t>
      </w:r>
      <w:r>
        <w:rPr>
          <w:color w:val="000000"/>
        </w:rPr>
        <w:t xml:space="preserve"> </w:t>
      </w:r>
      <w:r>
        <w:rPr>
          <w:rFonts w:ascii="Times New Roman;serif" w:hAnsi="Times New Roman;serif"/>
          <w:b w:val="false"/>
          <w:color w:val="000000"/>
          <w:sz w:val="20"/>
        </w:rPr>
        <w:t xml:space="preserve">As of June 30, 2026, our licensed intellectual property only includes four issued patents, </w:t>
      </w:r>
      <w:r>
        <w:rPr>
          <w:rFonts w:ascii="Times New Roman;serif" w:hAnsi="Times New Roman;serif"/>
          <w:b w:val="false"/>
          <w:color w:val="000000"/>
          <w:sz w:val="20"/>
          <w:shd w:fill="FFFFFF" w:val="clear"/>
        </w:rPr>
        <w:t>all</w:t>
      </w:r>
      <w:r>
        <w:rPr>
          <w:color w:val="000000"/>
        </w:rPr>
        <w:t xml:space="preserve"> </w:t>
      </w:r>
      <w:r>
        <w:rPr>
          <w:rFonts w:ascii="Times New Roman;serif" w:hAnsi="Times New Roman;serif"/>
          <w:b w:val="false"/>
          <w:color w:val="000000"/>
          <w:sz w:val="20"/>
        </w:rPr>
        <w:t>of which are related to our NGN-101 program which we are no longer actively pursuing. Our pending and future patent applications may not result in patents being issued. Any issued patents may not afford sufficient protection of o</w:t>
      </w:r>
      <w:r>
        <w:rPr>
          <w:rFonts w:ascii="Times New Roman;serif" w:hAnsi="Times New Roman;serif"/>
          <w:b w:val="false"/>
          <w:color w:val="000000"/>
          <w:sz w:val="20"/>
          <w:shd w:fill="FFFFFF" w:val="clear"/>
        </w:rPr>
        <w:t xml:space="preserve">ur product candidates or their intended uses against competitors, nor can there be any assurance that the patents issued will not be infringed, designed around, invalidated by third parties, or effectively prevent others from commercializing competitive technologies, products or product candidates. Even if these patents are granted, they may be difficult to enforce. Further, any issued patents that may be licensed or owned covering our product candidates could be narrowed or found invalid or unenforceable if challenged in court or before administrative bodies in the United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73685"/>
                <wp:effectExtent l="0" t="0" r="0" b="0"/>
                <wp:wrapNone/>
                <wp:docPr id="68" name="Frame6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States or abroad, including the United States Patent and Trademark Office (“USPTO”). Further, if we encounter delays in any clinical trials or delays in obtaining regulatory approval, the period of time during which we could market product candidates under patent protection would be reduced. Thus, the patents that we may own or license may not afford any meaningful competitive advantage.</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to seeking patents for some of our technology and product candidates, we may also rely on trade secrets, including unpatented know-how, technology and other proprietary information, to maintain our competitive position. Any disclosure, either intentional or unintentional, by our employees, the employees of third parties with whom we share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the market. In order to protect our proprietary technology and processes, we rely in part on confidentiality agreements with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In addition, while we undertake efforts to protect our trade secrets and other confidential information from disclosure, others may independently discover trade secrets and proprietary information, and in such cases, we may not be able to assert any trade secret rights against such party.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Lastly, if our trademarks and trade names are not registered or adequately protected, then we may not be able to build name recognition in markets of interest and our business may be adversely affected.</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not be successful in obtaining or maintaining necessary rights to product candidates through acquisitions and in-licenses.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Because our development programs require and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investment or at all. If we are unable to successfully obtain rights to required third-party intellectual property rights or maintain the existing intellectual property rights we have, we may have to abandon development of the relevant product candidate, which could have a material adverse effect on our business, financial condition, results of operations, and prospects.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While we will normally seek to obtain the right to control prosecution, maintenance and enforcement of the patents relating to a product candidate, there may be times when the filing and prosecution activities for patents and patent applications relating to a product candidate are controlled by future licensors or collaboration partners. For example, we currently license several patent families from the University of Edinburgh covering the EXACT transgene regulation platform, as well as the NGN-401 product candidate and its uses. If any of such licensors or collaboration partners fail to prosecute, maintain and enforce such patents and patent applications in a manner consistent with the best interests of our business, including by payment of all applicable fees for patents covering a product candidate, we could lose rights to the intellectual property or exclusivity with respect to those rights, our ability to develop and commercialize such candidates may be adversely affected and we may not be able to prevent competitors from making, using and selling competing products. In addition, even where we have the right to control patent prosecution of patents and patent applications which may be licensed to and from third parties, we may still be adversely affected or prejudiced by actions or inactions of licensees, future licensors and their counsel that took place prior to the date upon which we assumed control over patent prosecution.</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future licensors may rely on third-party consultants or collaborators or on funds from third parties such that future licensors are not the sole and exclusive owners of the patents we in-license. If other third parties have ownership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73685"/>
                <wp:effectExtent l="0" t="0" r="0" b="0"/>
                <wp:wrapNone/>
                <wp:docPr id="69" name="Frame6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rights to future in-licensed patents, they may be able to license such patents to our competitors, and the competitors could market competing products and technology. This could have a material adverse effect on our competitive position, business, financial conditions, results of operations, and prospects.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It is possible that we may be unable to obtain licenses at a reasonable cost or on reasonable terms, if at all. Even if we are able to obtain a license, it may be non-exclusive, thereby giving competitors access to the same technologies licensed to us. In that event, we may be required to expend significant time and resources to redesign our technology, product candidates, or the methods for manufacturing the same,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or manufacturing methods, our product candidates, or future methods or product candidates, resulting in either an injunction prohibiting manufacture or future sales, or, with respect to future sales, an obligation on our part to pay royalties and/or other forms of compensation to third parties, which could be significant.</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Disputes may arise between us and our future licensors regarding intellectual property subject to a license agreement, including: the scope of rights granted under the license agreement and other interpretation-related issues; whether and to what extent to which our technology and processes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creations or use of intellectual property by future licensors and us and/or our partners; and the priority date of an invention of patented technology.</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Certain of our current product candidates and research programs are licensed from or based upon licenses from a third party and are field limited to certain indications. If these license agreements are terminated or interpreted to narrow our rights, our ability to advance our current product candidates or develop new product candidates based on these technologies will be materially adversely affected.</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depend on, and will continue to depend on, our current licenses with the University of Edinburgh, Virovek, Inc. (“Virovek”), Sigma-Aldrich Co. LLC (“Sigma”), and Leland Stanford Junior University (“Stanford”), and on licenses and sublicenses from other third parties, as well as potentially on other strategic relationships with third parties, for the research, development, manufacturing and commercialization of our current product candidates. If any of our licenses or relationships or any in-licenses on which our licenses are based are terminated or breached, we may:</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lose our rights to develop and market our current product candidates;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lose patent or trade secret protection for our current product candidates;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experience significant delays in the development or commercialization of our current product candidates;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not be able to obtain any other licenses on acceptable terms, if at all; or</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incur liability for damages.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Additionally, even if not terminated or breached, our intellectual property licenses or sublicenses may be subject to disagreements over contract interpretation, which could narrow the scope of our rights to the relevant intellectual property or technology or increase our financial or other obligations.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we experience any of the foregoing, it could have a materially adverse effect on our business and could force us to cease operations.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We are party to license agreements with the University of Edinburgh, Virovek, Sigma and Stanford and may from time to time in the future be party to other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w:t>
      </w:r>
      <w:r>
        <w:rPr>
          <w:rFonts w:ascii="Times New Roman;serif" w:hAnsi="Times New Roman;serif"/>
          <w:b w:val="false"/>
          <w:color w:val="000000"/>
          <w:sz w:val="20"/>
        </w:rPr>
        <w:t>. Despite our best efforts, our licensors might conclude that we have materially brea</w:t>
      </w:r>
      <w:r>
        <w:rPr>
          <w:rFonts w:ascii="Times New Roman;serif" w:hAnsi="Times New Roman;serif"/>
          <w:b w:val="false"/>
          <w:color w:val="000000"/>
          <w:sz w:val="20"/>
          <w:shd w:fill="FFFFFF" w:val="clear"/>
        </w:rPr>
        <w:t>ched our license agreements and might therefore terminate the license agreements, thereby removing or limiting our ability to develop and commercialize products and technologies covered by these license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73685"/>
                <wp:effectExtent l="0" t="0" r="0" b="0"/>
                <wp:wrapNone/>
                <wp:docPr id="70" name="Frame6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these licenses are terminated for any reason, or if the underlying patents fail to provide the intended exclusivity, we could lose significant rights and our ability to commercialize our current or future product candidates may be harmed,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Disputes may also arise between us and our licensors regarding intellectual property subject to a license agreement, including:</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scope of rights granted under the license agreement and other interpretation-related issues;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whether and the extent to which our technology and processes infringe, misappropriate or otherwise violate intellectual property rights of the licensor that is not subject to the licensing agreement;</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our right to sublicense patent and other rights to third parties under collaborative development relationships;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our diligence obligations with respect to the use of the licensed technology in relation to the development and commercialization of our current or future product candidates, and what activities satisfy those diligence obligations;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priority of invention of any patented technology; and</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ownership of inventions and know-how resulting from the joint creation or use of intellectual property by our current or future licensors and by us and our other partners.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be subject to patent infringement claims or may need to file claims to protect our intellectual property, which could result in substantial costs, liability and diversion of resources, and prevent or delay us from commercializing potential products.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Because the intellectual property landscape in the biotechnology industry is rapidly evolving and interdisciplinary, it is difficult to conclusively assess our freedom to operate and guarantee that we can operate without infringing on or violating third party rights. If certain of our product candidates are ultimately granted regulatory approval, patent rights held by third parties, if found to be valid and enforceable, could be alleged to render one or more of such product candidates infringing. We cannot be certain that patents owned or licensed by us will not be challenged by others in the course of litigation. If a third party successfully brings a claim against us, we may be required to pay substantial damages, be forced to abandon any affected product candidate and/or seek a license from the patent holder. In addition, any uncertainties resulting from the initiation and continuation of any litigation could have a material adverse effect on our business.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Competitors may infringe or otherwise violate our patents, trademarks, copyrights or other intellectual property. To counter infringement or other violations, we may be required to file claims, which can be expensive and time-consuming. Any such claims could provoke these parties to assert counterclaims against us, including claims alleging that our intellectual property, methods or products infringes their patents or other intellectual property rights. In addition, in a patent infringement proceeding, a court or administrative body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or administrative body may determine that the marks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received may not be commercially valuable.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73685"/>
                <wp:effectExtent l="0" t="0" r="0" b="0"/>
                <wp:wrapNone/>
                <wp:docPr id="71" name="Frame7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 we may be required to protect our patents through procedures created to attack the validity of a patent at the USPTO.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we are required to defend intellectual property actions brought by third parties, or if we sue to protect our own intellectual property rights or otherwise to protect our proprietary information and to prevent its disclosure, or if we are involved in other litigation, whether as a plaintiff or defendant, and whether or not successful, we may incur substantial legal expenses and the attention of our management and key personnel may be diverted from business operations. Further, some of our competitors may be able to sustain the costs of complex intellectual property litigation more effectively than we can because they have substantially greater resources.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if our product candidates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which may require us to initiate or defend protracted and costly litigation on behalf of licensees and other parties regardless of the merits of such claims. If any of these claims succeed, we may be forced to pay damages on behalf of those parties or may be required to obtain licenses for the products they use, and may not be able to obtain such licenses on terms acceptable to us, if at all.</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be subject to claims that we have wrongfully hired an employee from a competitor or that employees, consultants or independent contractors have wrongfully used or disclosed confidential information of third parties.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is common in the biotechnology industry, in addition to employees, we engage consultants to assist in the development of our product candidates. Many of these consultants, and many of our employees, were or may have been previously employed at, or may have previously provided or may be currently providing consulting services to, other biotechnology or pharmaceutical companies including our competitors or potential competitors. We could in the future be subject to claims that we or our employees or consultants working on our behalf have inadvertently or otherwise used or disclosed alleged trade secrets or other confidential information of former employers or competitors. Although we try to ensure that our employees and consultants do not use the intellectual property, proprietary information, know-how or trade secrets of others in their work for us, we may become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litigate to defend ourselves against these claims, and even if we are successful, litigation could result in substantial costs and could be a distraction to management.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73685"/>
                <wp:effectExtent l="0" t="0" r="0" b="0"/>
                <wp:wrapNone/>
                <wp:docPr id="72" name="Frame7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Changes to patent laws in the United States and other jurisdictions could diminish the value of patents in general, thereby impairing our ability to protect our products.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Changes in either the patent laws or interpretation of patent laws in the United States, including patent reform legislation such as the Leahy-Smith America Invents Act (the “Leahy-Smith Act”), could increase the uncertainties and costs surrounding the prosecution of our owned and any future in-licensed patent applications and the maintenance, enforcement or defense of our owned and any future in-licensed issued patents. The Leahy-Smith Act includes a number of significant changes to U.S.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along with additional procedures to attack the validity of a patent at USPTO-administered post-grant proceedings, including post-grant review, inter partes review, and derivation proceedings. Assuming that other requirements for patentability are met, prior to March 16, 2013, in the United States, the first to invent the claimed invention was entitled to the patent, while outside the United States, the first to file a patent application was entitled to the patent. After March 16,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our operations and prospects.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Geopolitical actions in the United States and in foreign countries could increase the uncertainties and costs surrounding the prosecution or maintenance of patent applications and the maintenance, enforcement or defense of issued patents. Accordingly, our competitive position may be impaired, and our business, financial condition, operations and prospects may be adversely affected.</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a European Unified Patent Court (“UPC”) came into force in June 2023. The UPC is a common patent court to hear patent infringement and revocation proceedings effective for member states of the EU. This could enable third parties to seek revocation of a European patent in a single proceeding at the UPC rather than through multiple proceedings in each of the jurisdictions in which the European patent is validated. We currently have three pending European applications, and if we obtain such patents and applications in 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obtained. We may decide to opt out from the UPC for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73685"/>
                <wp:effectExtent l="0" t="0" r="0" b="0"/>
                <wp:wrapNone/>
                <wp:docPr id="73" name="Frame7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Obtaining and maintaining patent protection depends on compliance with various procedural, document submissions, fee payment and other requirements imposed by governmental patent agencies, and our patent protection could be reduced or eliminated for non-compliance with these requirements.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 candidates, our competitive position would be adversely affected.</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not identify relevant third-party patents or may incorrectly interpret the relevance, scope or expiration of a third-party patent, which might adversely affect our ability to develop and market our products.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pending applications or any future issued patents,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become subject to claims challenging the inventorship or ownership of our patents and other intellectual property.</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current or future licensors may have relied on third-party consultants or collaborators or on funds from third parties, such as the U.S. government or academic institutions,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73685"/>
                <wp:effectExtent l="0" t="0" r="0" b="0"/>
                <wp:wrapNone/>
                <wp:docPr id="74" name="Frame7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could have a material adverse effect on our competitive position, business, financial conditions, operations, and prospects.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Patent terms may be inadequate to protect our competitive position on our product candidates for an adequate amount of time.</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our owned and future licensed patent portfolio may not provide us with sufficient rights to exclude others from commercializing products similar or identical to ours.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Some intellectual property that we have in-licensed may have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Certain of the intellectual property rights we have licensed are generated through the use of U.S. government funding and are therefore subject to certain federal regulations. As a result, the U.S. government may have certain rights to intellectual property embodied in our current or future product candidates pursuant to the Bayh-Dole Act of 1980 (the “Bayh-Dole Act”) and implementing regulations. These U.S. government rights in certain inventions developed under a government-funded program include a non-exclusive, non-transferable, irrevocable worldwide license to use inventions for any governmental purpose. In addition, the U.S. government has the right to require us or our licensors’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fails to file an application to register the intellectual property within specified time limits. These time limits have recently been changed by regulation, and may change in the future.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73685"/>
                <wp:effectExtent l="0" t="0" r="0" b="0"/>
                <wp:wrapNone/>
                <wp:docPr id="75" name="Frame7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Government Regulation</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regulatory approval processes of the FDA and other comparable foreign regulatory authorities are lengthy, time-consuming and inherently unpredictable. If we are not able to obtain, or if there are delays in obtaining, required regulatory approvals for our product candidates, or if we determine that we are not willing or able to complete the regulatory approval process given the resources required to do so, we will not be able to commercialize, or will be delayed in commercializing, such product candidates, and our ability to generate revenue will be materially impaired.</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While our product candidate NGN-401 for Rett syndrome has been accepted into the FDA’s START program and received Breakthrough Therapy and RMAT designations from the FDA, which we expect together will allow us to have access to more frequent advice from FDA staff, intensive guidance on efficient drug development and eligibility for an Accelerated Approval pathway and Priority Review, participation in these programs is not a guarantee that our approval process with the FDA will be faster or that we will ultimately achieve approval of NGN-401 as an accepted therapy for Rett syndrome. We cannot commercialize product candidates in the United States without first obtaining regulatory approval from the FDA. In addition, we may determine that the resources required to complete the regulatory approval process are in excess of what we are able or willing to expend on a particular program. For example, in November 2024, we announced that we do not expect to move forward with the NGN-101 gene therapy program for CLN5 Batten disease. Given the rarity of the disease, continued investment in the program was predicated on an alignment on a streamlined registrational pathway with the FDA. To support a streamlined pathway, we submitted an RMAT application to the FDA. Despite our belief that we met the standard of preliminary clinical evidence required to obtain an RMAT designation, the RMAT application was denied. We are currently evaluating options for the program.</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Similarly, we cannot commercialize product candidates outside of the United States without obtaining regulatory approval from comparable foreign regulatory authorities. Before obtaining regulatory approvals for the commercial sale of our product candidates, including our most advanced product candidate, NGN-401, we must demonstrate through lengthy, complex and expensive preclinical and clinical trials that such product candidates are safe, pure and effective or potent for each targeted indication. Foreign regulators may have different requirements for clinical trial design that could increase our costs for developing our product candidates for use in other markets, or may limit our ability to seek approval in those markets.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Securing regulatory approval also requires the submission of information about the biological product manufacturing process to, and inspection of manufacturing facilities by, the relevant regulatory authority. Further, a product candidate may not be effective or potent, may be only moderately effective or potent or may prove to have undesirable or unintended side effects, toxicities or other characteristics that may preclude its obtaining marketing approval. The FDA and comparable foreign regulatory authorities have substantial discretion in the approval process and may refuse to accept any application or may decide that our data are insufficient for approval and require additional preclinical, clinical or other data. A product candidate could be delayed in receiving, or fail to receive, regulatory approval for many reasons, including: the FDA or comparable foreign regulatory authorities may disagree with the design or implementation of our clinical trials; we may be unable to demonstrate to the satisfaction of the FDA or comparable foreign regulatory authorities that a product candidate is safe, pure, and effective or potent for its proposed indication; the results of clinical trials may not meet the level of statistical significance required by the FDA or comparable foreign regulatory authorities for approval; serious and unexpected product-related side effects may be experienced by participants in our clinical trials or by individuals using drugs or biological products similar to a product candidate; we may be unable to demonstrate that a candidate’s clinical and other benefits outweigh its safety risks; the FDA or comparable foreign regulatory authorities may disagree with our interpretation of data from preclinical studies or clinical trials; the data collected from clinical trials of a product candidate may not be acceptable or sufficient to support the submission of a BLA or other submission or to obtain regulatory approval in the United States or elsewhere, and we may be required to conduct additional clinical trials; the FDA or the applicable foreign regulatory authority may disagree regarding the formulation, labeling and/or the specifications of a product candidate; the FDA or comparable foreign regulatory authorities may fail to approve the manufacturing processes or facilities of third-party manufacturers with which we contract for clinical and commercial supplies; and the approval policies or regulations of the FDA or comparable foreign regulatory authorities may significantly change in a manner rendering our clinical data insufficient for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73685"/>
                <wp:effectExtent l="0" t="0" r="0" b="0"/>
                <wp:wrapNone/>
                <wp:docPr id="76" name="Frame7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Of the large number of products in development, only a small percentage successfully complete the FDA or foreign regulatory approval processes and are commercialized. The lengthy approval process as well as the unpredictability of future clinical trial results may result in us failing to obtain regulatory approval to market NGN-401 or other product candidates, which would significantly harm our business, results of operations and prospects.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we were to obtain approval, regulatory authorities may approve any such product candidate for fewer or more limited indications than we request, including failing to approve the most commercially promising indications, may grant approval contingent on the performance of costly post-marketing clinical trials, or may approve a product candidate with a label that does not include the labeling claims necessary or desirable for the successful commercialization of that product candidate. If we are not able to obtain, or if there are delays in obtaining, required regulatory approvals for a product candidate, we will not be able to commercialize, or will be delayed in commercializing, such product candidate and our ability to generate revenue may be materially impaired. In addition, the FDA and foreign regulatory authorities may undergo leadership change, change their policies, issue additional regulations or revise existing regulations, or take other actions including significant reorganization within the agency which may impact our clinical development plans or prevent or delay approval of our product candidates under development on a timely basis. Such policy or regulatory changes could impose additional requirements upon us that could delay our ability to obtain approvals and increase the costs of compliance.</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Since the start of President Trump’s administration in 2025 (the “Trump Administration”), U.S. policy changes have been implemented at a rapid pace and additional change is likely. It is difficult to predict how executive actions that may be taken under the Trump administration may affect the FDA’s ability to exercise its regulatory authority. If any actions impose constraints on the FDA’s ability to engage in routine oversight and product review activities in the normal course, our business may be negatively impacted. Additionally, the Trump Administration or other parts of the federal government could adopt legislation, regulations or policies that adversely affect our business or create a more challenging and costly environment to pursue the development, approval and commercialization of our product candidates. </w:t>
      </w:r>
      <w:r>
        <w:rPr>
          <w:rFonts w:ascii="Times New Roman;serif" w:hAnsi="Times New Roman;serif"/>
          <w:b w:val="false"/>
          <w:color w:val="000000"/>
          <w:sz w:val="20"/>
        </w:rPr>
        <w:t>Recent developments at the FDA include announcement of a plan to phase out animal testing for monoclonal antibodies and certain other drugs, the introduction of the Rare Disease E</w:t>
      </w:r>
      <w:r>
        <w:rPr>
          <w:rFonts w:ascii="Times New Roman;serif" w:hAnsi="Times New Roman;serif"/>
          <w:b w:val="false"/>
          <w:color w:val="000000"/>
          <w:sz w:val="20"/>
          <w:shd w:fill="FFFFFF" w:val="clear"/>
        </w:rPr>
        <w:t>vidence</w:t>
      </w:r>
      <w:r>
        <w:rPr>
          <w:color w:val="000000"/>
        </w:rPr>
        <w:t xml:space="preserve"> </w:t>
      </w:r>
      <w:r>
        <w:rPr>
          <w:rFonts w:ascii="Times New Roman;serif" w:hAnsi="Times New Roman;serif"/>
          <w:b w:val="false"/>
          <w:color w:val="000000"/>
          <w:sz w:val="20"/>
        </w:rPr>
        <w:t>Principles process to facilitate approval of drugs to treat rare diseases with very small patient populations with significant unmet medical need and with a known genetic defect that is the major driver of the pathophysiology, and the announcement of a Commissioner’s National Priority Voucher program for companies supporting certain U.S. national health priorities and interests. We may not be able to participate in any of these initiatives to accelerate drug development and application review. To the extent our competitors are able to participate in such initiatives and obtain faster approval than us, our competitive position may be harmed.</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Because gene therapy is novel and the regulatory landscape that governs any product candidates we may develop is rigorous, complex, uncertain and subject to change, we cannot predict the time and cost of obtaining regulatory approval, if received at all, for any product candidates we may develop.</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regulatory requirements that will govern any novel gene therapy product candidates we develop are not entirely clear and are subject to change. Within the broader genetic medicine field, very few therapeutic products have received marketing authorization from the FDA or the EMA.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Moreover, there is substantial overlap in those responsible for review and regulation of existing gene therapy products and cell therapy products. For example, in the United States, the FDA has established the Office of Therapeutic Products within its Center for Biologics Evaluation and Research (“CBER”), as part of its reorganization of the Office of Tissues and Advanced Therapies, to consolidate the review of gene therapy and related products. In addition, the Cellular, Tissue and Gene Therapies Advisory Committee advises CBER on its review.</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product candidates will need to meet safety, purity and efficacy or potency standards applicable to any new biologic under the regulatory framework administered by the FDA. In addition to FDA oversight and oversight by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73685"/>
                <wp:effectExtent l="0" t="0" r="0" b="0"/>
                <wp:wrapNone/>
                <wp:docPr id="77" name="Frame7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Similar considerations apply in the EU. The EMA’s Committee for Advanced Therapies (“CAT”) is responsible for assessing the quality, safety, and efficacy of advanced-therapy medicinal products. Advanced-therapy medicinal products include gene therapy medicines, somatic-cell therapy medicines and tissue-engineered medicines. The role of the CAT is to prepare a draft opinion on an application for marketing authorization for a gene therapy medicinal candidate that is submitted to the EMA. In the EU, the development and evaluation of a gene therapy product must be considered in the context of the relevant EU legislation and guidelines. The EMA may issue new guidelines concerning the development and marketing authorization for gene therapy products and require that we comply with these new guidelines. As a result, the procedures and standards applied to gene therapy products and cell therapy products may be applied to any gene therapy product candidate we may develop, but that remains uncertain at this point.</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Adverse developments in preclinical studies or clinical trials conducted by others in the field of gene therapy and gene regulation products may cause the FDA, the EMA, and other regulatory authorities to revise the requirements for approval of any product candidates we may develop or limit the use of products utilizing gene regulation technologies, either of which could harm our business. In addition, the clinical trial requirements of the FDA, the EMA, and other regulatory authorities and the criteria these regulators use to determine the safety, purity and efficacy or potency of a product candidate vary substantially according to the type, complexity, novelty, and intended use and market of the potential products. Because of this complexity, even though our product candidate NGN-401 for Rett syndrome has been accepted into the FDA’s START program, Breakthrough Therapy Designation and the RMAT program, which we expect together will allow us to have access to more frequent advice from FDA staff, intensive guidance on efficient drug development and eligibility for an Accelerated Approval pathway and Priority Review, the regulatory approval process for product candidates such as those being developed by us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heightened risk that the FDA, the EMA or other regulatory authorities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73685"/>
                <wp:effectExtent l="0" t="0" r="0" b="0"/>
                <wp:wrapNone/>
                <wp:docPr id="78" name="Frame7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FDA has required additional and in some cases more stringent clinical trial designs and clinical trial data for gene therapy product candidates, even where companies believed they had previously established alignment with the FDA on their trial designs. If the FDA were to change its position regarding elements of our clinical trial design or the clinical data required to support approval of our product candidates, we may face additional expenses or challenges in gaining approval of such products.</w:t>
      </w:r>
    </w:p>
    <w:p>
      <w:pPr>
        <w:pStyle w:val="TextBody"/>
        <w:bidi w:val="0"/>
        <w:spacing w:lineRule="auto" w:line="288" w:before="200" w:after="283"/>
        <w:ind w:left="0" w:right="0" w:firstLine="450"/>
        <w:jc w:val="both"/>
        <w:rPr/>
      </w:pPr>
      <w:r>
        <w:rPr>
          <w:rFonts w:ascii="Times New Roman;serif" w:hAnsi="Times New Roman;serif"/>
          <w:b w:val="false"/>
          <w:color w:val="000000"/>
          <w:sz w:val="20"/>
        </w:rPr>
        <w:t xml:space="preserve">From time to time, the FDA may provide written feedback on clinical trial design elements, including for instance an indication that it would be </w:t>
      </w:r>
      <w:r>
        <w:rPr>
          <w:rFonts w:ascii="Times New Roman;serif" w:hAnsi="Times New Roman;serif"/>
          <w:b w:val="false"/>
          <w:color w:val="000000"/>
          <w:sz w:val="20"/>
          <w:shd w:fill="FFFFFF" w:val="clear"/>
        </w:rPr>
        <w:t>willing</w:t>
      </w:r>
      <w:r>
        <w:rPr>
          <w:color w:val="000000"/>
        </w:rPr>
        <w:t xml:space="preserve"> </w:t>
      </w:r>
      <w:r>
        <w:rPr>
          <w:rFonts w:ascii="Times New Roman;serif" w:hAnsi="Times New Roman;serif"/>
          <w:b w:val="false"/>
          <w:color w:val="000000"/>
          <w:sz w:val="20"/>
        </w:rPr>
        <w:t xml:space="preserve">to consider a regulatory pathway based on limited clinical data, such as data from an early stage or single pivotal study, or based on data using historical or other controls. However, even if it has provided this guidance in writing, the FDA retains broad discretion to revise or withdraw such guidance with respect to any design elements of our clinical development plan at any time. Even if the FDA initially agrees that a particular data set or development plan could support a marketing application, the agency could later determine that additional or more comprehensive </w:t>
      </w:r>
      <w:r>
        <w:rPr>
          <w:rFonts w:ascii="Times New Roman;serif" w:hAnsi="Times New Roman;serif"/>
          <w:b w:val="false"/>
          <w:color w:val="000000"/>
          <w:sz w:val="20"/>
          <w:shd w:fill="FFFFFF" w:val="clear"/>
        </w:rPr>
        <w:t>clinical</w:t>
      </w:r>
      <w:r>
        <w:rPr>
          <w:color w:val="000000"/>
        </w:rPr>
        <w:t xml:space="preserve"> </w:t>
      </w:r>
      <w:r>
        <w:rPr>
          <w:rFonts w:ascii="Times New Roman;serif" w:hAnsi="Times New Roman;serif"/>
          <w:b w:val="false"/>
          <w:color w:val="000000"/>
          <w:sz w:val="20"/>
        </w:rPr>
        <w:t>evidence is required. The FDA has required certain gene therapy companies who are seeking BLA approval for product candidates to produce additional data with more stringent requirements than were included in the initial clinical trial design, including in some instances data that may require that company to conduct additional clinical trials. While we have achieved concordance with the FDA on our clinical trial designs for our Phase 3 Embolden trial of NGN-401, the continued disruptions and changes in leadership at the FDA create ongoing uncertainty about what evidentiary standards may be applied in the future. If we were to experience a change in the FDA’s position related to our trial design, especially with respect to our Embolden clinical trial, we expect such a change could delay or prevent approval, increase our development costs, and adversely affect our ability to commercialize our product candidates.</w:t>
      </w:r>
    </w:p>
    <w:p>
      <w:pPr>
        <w:pStyle w:val="TextBody"/>
        <w:bidi w:val="0"/>
        <w:spacing w:lineRule="auto" w:line="288" w:before="20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Disruptions at the FDA and other governmental agencies and regulatory authorities could negatively affect the review of our regulatory submissions or impact our ability to access the public markets, which could negatively impact our business.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ability of the FDA and other regulatory authorities to review and approve regulatory submissions can be affected by a variety of factors, including statutory, regulatory and policy changes, inadequate government budget funding levels, their ability to accept user fees, or a reduction in the FDA’s workforce and its ability to hire and retain key personnel, disruptions caused by government shutdowns and public health crises. Following mass layoffs of federal government employees at the start of the Trump Administration in January 2025, the FDA warned of potential delays in review of new applications, and average review times at the agency have fluctuated as a result. While the FDA in June 2026 announced plans to hire over 2,000 new employees, there may be continued disruption in the work of the agency due to the previous terminations and the resources required to hire and integrate new employees. In addition, government funding of the SEC and other government agencies on which our operations may rely, including those that fund research and development activities, is subject to the political process, which is inherently fluid and unpredictable. There have also been and may continue to be changes in the leadership of various U.S. federal regulatory agencies, including the FDA. For instance, in April 2026 the head of CBER left the FDA, followed shortly thereafter by the termination of the subsequent acting head of CBER in May 2026 as well as the departure of the FDA Commissioner in May 2026. Permanent successors for the head of CBER and for the FDA Commissioner have not yet been named. These and other changes in the FDA create uncertainty regarding the future leadership of the division that oversees the development of gene therapy products. In addition, changes to U.S. federal government policy since January 2025 have led to, in some cases, legal challenges and uncertainty around the funding, functioning and policy priorities of the U.S. federal regulatory agencies, including the FDA.</w:t>
      </w:r>
    </w:p>
    <w:p>
      <w:pPr>
        <w:pStyle w:val="TextBody"/>
        <w:bidi w:val="0"/>
        <w:spacing w:lineRule="auto" w:line="288" w:before="200" w:after="283"/>
        <w:ind w:left="0" w:right="0" w:firstLine="450"/>
        <w:jc w:val="both"/>
        <w:rPr/>
      </w:pPr>
      <w:r>
        <w:rPr>
          <w:rFonts w:ascii="Times New Roman;serif" w:hAnsi="Times New Roman;serif"/>
          <w:b w:val="false"/>
          <w:color w:val="000000"/>
          <w:sz w:val="20"/>
        </w:rPr>
        <w:t xml:space="preserve">We are unable to predict the extent to which the current U.S. federal administration may impose or seek to impose additional leadership or policy changes at the U.S. federal regulatory agencies responsible for regulating our business or changes to rules and policies impacting our operations. It is also unclear how executive actions or other potential actions by the Trump Administration or </w:t>
      </w:r>
      <w:r>
        <w:rPr>
          <w:rFonts w:ascii="Times New Roman;serif" w:hAnsi="Times New Roman;serif"/>
          <w:b w:val="false"/>
          <w:color w:val="000000"/>
          <w:sz w:val="20"/>
          <w:shd w:fill="FFFFFF" w:val="clear"/>
        </w:rPr>
        <w:t>other</w:t>
      </w:r>
      <w:r>
        <w:rPr>
          <w:color w:val="000000"/>
        </w:rPr>
        <w:t xml:space="preserve"> </w:t>
      </w:r>
      <w:r>
        <w:rPr>
          <w:rFonts w:ascii="Times New Roman;serif" w:hAnsi="Times New Roman;serif"/>
          <w:b w:val="false"/>
          <w:color w:val="000000"/>
          <w:sz w:val="20"/>
        </w:rPr>
        <w:t xml:space="preserve">parts of the federal government will impact the FDA or other regulatory authorities that oversee our business. Government proposals to reduce or eliminate budgetary deficits or limit federal agency personnel may include reduced allocations to the FDA and other related government agencies. These budgetary pressures may reduce the FDA’s ability to perform its responsibilities, potentially affecting our ability to progress development of our product candidates or obtain regulatory approval for our product candidates and could result in delays in our clinical trial timelines. Disruptions at the FDA </w:t>
      </w:r>
      <w:r>
        <w:rPr>
          <w:rFonts w:ascii="Times New Roman;serif" w:hAnsi="Times New Roman;serif"/>
          <w:b w:val="false"/>
          <w:color w:val="000000"/>
          <w:sz w:val="20"/>
          <w:shd w:fill="FFFFFF" w:val="clear"/>
        </w:rPr>
        <w:t>and</w:t>
      </w:r>
      <w:r>
        <w:rPr>
          <w:color w:val="000000"/>
        </w:rPr>
        <w:t xml:space="preserve"> </w:t>
      </w:r>
      <w:r>
        <w:rPr>
          <w:rFonts w:ascii="Times New Roman;serif" w:hAnsi="Times New Roman;serif"/>
          <w:b w:val="false"/>
          <w:color w:val="000000"/>
          <w:sz w:val="20"/>
        </w:rPr>
        <w:t>other agencies or comparable foreign regulatory authorities may also slow the time necessary for the review and approval of CTAs or MAAs, which would adversely affect our business. A significant reduction in the FDA’s workforce or the FDA’s budget, or any future prolonged government shutdown, could significantly impact the ability of the FDA to timely review and process our regulatory submissions or take other actions critical to the development, manufacturing or marketing of our most advanced product candidate, NGN-401, or other product candidates, if approved, which could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73685"/>
                <wp:effectExtent l="0" t="0" r="0" b="0"/>
                <wp:wrapNone/>
                <wp:docPr id="79" name="Frame7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450"/>
        <w:jc w:val="both"/>
        <w:rPr/>
      </w:pPr>
      <w:r>
        <w:rPr>
          <w:rFonts w:ascii="Times New Roman;serif" w:hAnsi="Times New Roman;serif"/>
          <w:b w:val="false"/>
          <w:color w:val="000000"/>
          <w:sz w:val="20"/>
        </w:rPr>
        <w:t xml:space="preserve">In October and November 2025, the U.S. federal government endured the longest government shutdown in U.S. history due to the failure of Congress to pass an appropriations budget for fiscal year 2026, and a subsequent partial government shutdown </w:t>
      </w:r>
      <w:r>
        <w:rPr>
          <w:rFonts w:ascii="Times New Roman;serif" w:hAnsi="Times New Roman;serif"/>
          <w:b w:val="false"/>
          <w:color w:val="000000"/>
          <w:sz w:val="20"/>
          <w:shd w:fill="FFFFFF" w:val="clear"/>
        </w:rPr>
        <w:t>ensued</w:t>
      </w:r>
      <w:r>
        <w:rPr>
          <w:color w:val="000000"/>
        </w:rPr>
        <w:t xml:space="preserve"> </w:t>
      </w:r>
      <w:r>
        <w:rPr>
          <w:rFonts w:ascii="Times New Roman;serif" w:hAnsi="Times New Roman;serif"/>
          <w:b w:val="false"/>
          <w:color w:val="000000"/>
          <w:sz w:val="20"/>
        </w:rPr>
        <w:t>in January and February of 2026. There can be no assurance that there will not be similar shutdowns of the federal government in the future. While there were some exemptions from these shutdowns with respect to certain aspects of the work carried out by the FDA, including essential safety oversight and ongoing reviews of certain existing applications where there was carryover funding, other work of the FDA during that time, such as acceptance of new applications, was suspended and the FDA workforce was reduced. These and similar events may impact the functioning of the FDA, including but not limited to subsequent government shutdowns or global health concerns, and could prevent the FDA or other regulatory authorities from conducting their regular inspections, reviews or other regulatory activities, could significantly impact the ability of the FDA or other regulatory authorities to timely review and process our regulatory submissions, which could have a material adverse effect on our business. In addition, any future government shutdown could impact our ability to access the public markets and obtain necessary capital in order to properly capitalize and continue our operations.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not be able to meet requirements for the chemistry, manufacturing and control of our product candidates.</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In order to receive approval of our products by the FDA and comparable foreign regulatory authorities, we must show that we and our contract manufacturing partners are able to characterize, control and manufacture our biological products safely and in accordance with regulatory requirements. This includes manufacturing the drug substance, developing an acceptable formulation, performing tests to adequately characterize the formulated product, documenting a repeatable manufacturing process, and demonstrating that our</w:t>
      </w:r>
      <w:r>
        <w:rPr>
          <w:color w:val="000000"/>
          <w:shd w:fill="FFFFFF" w:val="clear"/>
        </w:rPr>
        <w:t> </w:t>
      </w:r>
      <w:r>
        <w:rPr>
          <w:rFonts w:ascii="Times New Roman;serif" w:hAnsi="Times New Roman;serif"/>
          <w:b w:val="false"/>
          <w:color w:val="000000"/>
          <w:sz w:val="20"/>
          <w:shd w:fill="FFFFFF" w:val="clear"/>
        </w:rPr>
        <w:t>biological products meet stability requirements. Meeting these chemistry, manufacturing and control (“CMC”) requirements is a complex task that requires specialized expertise. If we are not able to meet the CMC requirements, we may not be successful in getting our products approved.</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intend to deliver our product candidates via a drug delivery device that will have its own regulatory, development, supply and other risks.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intend to deliver our product candidates via a drug delivery device, such as a catheter or other delivery system. There may be unforeseen technical complications related to the development activities required to bring such a product to market, including primary container compatibility and/or dose volume requirements. We expect to use drug delivery devices authorized for marketing under clearances or approvals held by third parties. Our product candidates may not be approved or may be substantially delayed in receiving approval if the devices do not gain and/or maintain their own regulatory approvals or clearances. Where approval of the drug product and device is sought under a single application, the increased complexity of the review process may also delay approval. In addition, some drug delivery devices are provided by single-source unaffiliated third-party companies. We may be dependent on the sustained cooperation and effort of those third-party companies both to supply the devices and, in some cases, to conduct the studies required for approval or other regulatory clearance of the devices. Even if approval is obtained, we may also be dependent on those third-party companies continuing to maintain such approvals or clearances once they have been received. Failure of third-party companies to supply the devices, to successfully complete studies on the devices in a timely manner, or to obtain or maintain required approvals or clearances of the devices could result in increased development costs, delays in or failure to obtain regulatory approval and delays in product candidates reaching the market or in gaining approval or clearance for expanded labels for new indications.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73685"/>
                <wp:effectExtent l="0" t="0" r="0" b="0"/>
                <wp:wrapNone/>
                <wp:docPr id="80" name="Frame7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have in the past and may in the future conduct clinical trials for our product candidates at sites outside the United States, and the FDA may not accept data from trials conducted in such locations.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conducted parts of our Phase 1/2 clinical trials for NGN-101 and NGN-401 outside of the United States, and may in the future conduct additional clinical trials for our products at sites outside of the United States, including in Australia, the UK, Europe or other foreign jurisdictions. For example, we enrolled patients in our Phase 1/2 clinical trials for NGN-401 in the United States, the UK and Australia.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 Even if the FDA accepts such data, it could require us to modify our planned clinical trials to receive clearance to initiate such trials in the United States or to continue such trials once initiated.</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risks inherent in conducting international clinical trials include: foreign regulatory requirements, differences in healthcare services, and differences in cultural customs that could restrict or limit our ability to conduct our clinical trials; administrative burdens of conducting clinical trials under multiple sets of foreign regulations; foreign exchange fluctuations; diminished protection of intellectual property in some countries; and political and economic risks relevant to foreign countries.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product candidates for which we intend to seek approval as biologics may face competition sooner than anticipated.</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Patient Protection and Affordable Care Act, as amended by the Health Care and Education Reconciliation Act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investigational biological products, if approved, could be considered reference products entitled to 12-year exclusivity. However, there is a risk that this exclusivity could be shortened due to congressional action or otherwise, or that the FDA will not consider a product candidate to be a reference product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is not yet clear, and will depend on a number of marketplace and regulatory factors that are still developing.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73685"/>
                <wp:effectExtent l="0" t="0" r="0" b="0"/>
                <wp:wrapNone/>
                <wp:docPr id="81" name="Frame8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Even if we receive regulatory approval of NGN-401 or other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regulatory approvals that we may receive for NGN-401 or other product candidates will require the submission of reports to regulatory authorities and surveillance to monitor the safety, purity and efficacy or potency of such product candidates,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a product candidate, which could entail requirements for a medication guide, physician training and communication plans or additional elements to ensure safe use, such as restricted distribution methods, patient registries and other risk minimization tools. In addition, if the FDA or comparable foreign regulatory authorities approve a product candidate, the products and the activities associated with their development and commercialization, including their design, testing, manufacture, safety, purity, efficacy or potency, recordkeeping, labeling, 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current cGMPs and GCPs for any clinical trials that we conduct following approval. In addition, manufacturers of drug products and their facilities are subject to continual review and periodic, unannounced inspections by the FDA and other regulatory authorities for compliance with cGMPs.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we or a regulatory authority discovers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requiring the addition of labeling statements, such as a “black box” warning or a contraindication, requiring creation of a medication guide outlining the risk of such side effects for distribution to patients, withdrawal or suspension of existing approvals or licenses, refusal to approve pending applications or supplements, restrictions on our ability to conduct clinical trials, including full or partial clinical holds on ongoing or planned trials, restrictions on the manufacturing process, warning or untitled letters, civil and criminal penalties, injunctions, product seizures, detentions or import bans, voluntary or mandatory publicity requirements and imposition of restrictions on operations, including costly new manufacturing requirements. The occurrence of any event or penalty described above may inhibit our ability to commercialize NGN-401 or other product candidates and generate revenue and could require us to expend significant time and resources in response and could generate negative publicity.</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face difficulties from healthcare legislative reform measures.</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Existing regulatory policies may change, and additional government regulations may be enacted that could prevent, limit or delay regulatory approval of NGN-401 or other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w:t>
      </w:r>
      <w:r>
        <w:rPr>
          <w:rFonts w:ascii="Times New Roman;serif" w:hAnsi="Times New Roman;serif"/>
          <w:b w:val="false"/>
          <w:color w:val="000000"/>
          <w:sz w:val="20"/>
        </w:rPr>
        <w:t>ory compliance, we may lose any marketing approval that we may have obtained and we may not achieve or sustain profitability. See “</w:t>
      </w:r>
      <w:r>
        <w:rPr>
          <w:rFonts w:ascii="Times New Roman;serif" w:hAnsi="Times New Roman;serif"/>
          <w:b w:val="false"/>
          <w:i/>
          <w:color w:val="000000"/>
          <w:sz w:val="20"/>
        </w:rPr>
        <w:t>Business—Government Regulation—Healthcare Reform</w:t>
      </w:r>
      <w:r>
        <w:rPr>
          <w:color w:val="000000"/>
        </w:rPr>
        <w:t xml:space="preserve">” </w:t>
      </w:r>
      <w:r>
        <w:rPr>
          <w:rFonts w:ascii="Times New Roman;serif" w:hAnsi="Times New Roman;serif"/>
          <w:b w:val="false"/>
          <w:color w:val="000000"/>
          <w:sz w:val="20"/>
        </w:rPr>
        <w:t>in our Annual Report on Form 10-K for a more detailed description of healthcare reforms measures that may prevent us from being able to generate revenue, attain profitability, or commercialize product candidates.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business operations and current and future arrangements with investigators, healthcare professionals, consultants, third-party payors, patient organizations and customers will be subject to applicable healthcare regulatory laws, which could expose us to penalties.</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Our business operations and current and future arrangements with investigators, healthcare professionals, consultants, third-party payors, patient organizations and customers may expose us to broadly-applicable fraud and abuse and </w:t>
      </w:r>
      <w:r>
        <w:rPr>
          <w:rFonts w:ascii="Times New Roman;serif" w:hAnsi="Times New Roman;serif"/>
          <w:b w:val="false"/>
          <w:color w:val="000000"/>
          <w:sz w:val="20"/>
        </w:rPr>
        <w:t xml:space="preserve">other healthcare laws and regulations. These laws may constrain the business or financial arrangements and relationships through </w:t>
      </w:r>
      <w:r>
        <w:rPr>
          <w:rFonts w:ascii="Times New Roman;serif" w:hAnsi="Times New Roman;serif"/>
          <w:b w:val="false"/>
          <w:color w:val="000000"/>
          <w:sz w:val="20"/>
          <w:shd w:fill="FFFFFF" w:val="clear"/>
        </w:rPr>
        <w:t>which</w:t>
      </w:r>
      <w:r>
        <w:rPr>
          <w:color w:val="000000"/>
        </w:rPr>
        <w:t xml:space="preserve"> </w:t>
      </w:r>
      <w:r>
        <w:rPr>
          <w:rFonts w:ascii="Times New Roman;serif" w:hAnsi="Times New Roman;serif"/>
          <w:b w:val="false"/>
          <w:color w:val="000000"/>
          <w:sz w:val="20"/>
        </w:rPr>
        <w:t>we conduct our operations, including how we research, market, sell and distribute our product candidates, if approved. See “</w:t>
      </w:r>
      <w:r>
        <w:rPr>
          <w:rFonts w:ascii="Times New Roman;serif" w:hAnsi="Times New Roman;serif"/>
          <w:b w:val="false"/>
          <w:i/>
          <w:color w:val="000000"/>
          <w:sz w:val="20"/>
        </w:rPr>
        <w:t>Business—Government Regulation—Other Healthcare Laws and Compliance Requirements</w:t>
      </w:r>
      <w:r>
        <w:rPr>
          <w:color w:val="000000"/>
        </w:rPr>
        <w:t xml:space="preserve">” </w:t>
      </w:r>
      <w:r>
        <w:rPr>
          <w:rFonts w:ascii="Times New Roman;serif" w:hAnsi="Times New Roman;serif"/>
          <w:b w:val="false"/>
          <w:color w:val="000000"/>
          <w:sz w:val="20"/>
        </w:rPr>
        <w:t>in our Annual Report on Form 10-K for a more detailed description of the laws that may affect our ability to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73685"/>
                <wp:effectExtent l="0" t="0" r="0" b="0"/>
                <wp:wrapNone/>
                <wp:docPr id="82" name="Frame8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450"/>
        <w:jc w:val="both"/>
        <w:rPr/>
      </w:pPr>
      <w:r>
        <w:rPr>
          <w:rFonts w:ascii="Times New Roman;serif" w:hAnsi="Times New Roman;serif"/>
          <w:b w:val="false"/>
          <w:color w:val="000000"/>
          <w:sz w:val="20"/>
        </w:rPr>
        <w:t>Ensuring that our internal operations and future business arrangements with third parties comply wit</w:t>
      </w:r>
      <w:r>
        <w:rPr>
          <w:rFonts w:ascii="Times New Roman;serif" w:hAnsi="Times New Roman;serif"/>
          <w:b w:val="false"/>
          <w:color w:val="000000"/>
          <w:sz w:val="20"/>
          <w:shd w:fill="FFFFFF" w:val="clear"/>
        </w:rPr>
        <w:t>h applicable healthcare laws and regulations will involve substantial costs. If our operations are found to be in violation of any of these laws or any other governmental laws and regulations that may apply to us, we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our operations. Further, defending against any such actions can be costly and time-consuming and may require significant personnel resources. Therefore, even if we are successful in defending against any such actions that may be brought against us, our business may be impaired.</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Even if we are able to commercialize NGN-401 or other product candidates, due to unfavorable pricing regulations and/or third-party coverage and reimbursement policies, we may not be able to offer such products at competitive prices which would seriously harm our business.</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We intend to seek approval to market NGN-401 and other product candidates in both the United States and in selected foreign jurisdictions. If we obtain approval in one or more foreign jurisdictions for such product candidates, we will be subject to rules and regulations in those jurisdictions. Our ability to successfully commercialize any product candidates that we may develop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Government authorities and other third-party payors have attempted to control costs by limiting coverage and the amount of reimbursement for particular medications. These entities may create preferential access policies for a competitor’s product, including a branded or generic/biosimilar product, over our products in an attempt to reduce their costs, which may reduce our commercial opportunity. Additionally, if any of our product candidates are approved and we are found to have improperly promoted off-label uses of those programs, we may become subject to significant liability, which would materially adversely affect our business and financial conditi</w:t>
      </w:r>
      <w:r>
        <w:rPr>
          <w:rFonts w:ascii="Times New Roman;serif" w:hAnsi="Times New Roman;serif"/>
          <w:b w:val="false"/>
          <w:color w:val="000000"/>
          <w:sz w:val="20"/>
        </w:rPr>
        <w:t>on. See “</w:t>
      </w:r>
      <w:r>
        <w:rPr>
          <w:rFonts w:ascii="Times New Roman;serif" w:hAnsi="Times New Roman;serif"/>
          <w:b w:val="false"/>
          <w:i/>
          <w:color w:val="000000"/>
          <w:sz w:val="20"/>
        </w:rPr>
        <w:t>Business—Government Regulation—Coverage and Reimbursement” and “—Regulation in the European Union</w:t>
      </w:r>
      <w:r>
        <w:rPr>
          <w:color w:val="000000"/>
        </w:rPr>
        <w:t>” </w:t>
      </w:r>
      <w:r>
        <w:rPr>
          <w:rFonts w:ascii="Times New Roman;serif" w:hAnsi="Times New Roman;serif"/>
          <w:b w:val="false"/>
          <w:color w:val="000000"/>
          <w:sz w:val="20"/>
        </w:rPr>
        <w:t>in our Annual Report on Form 10-K for a more detailed description of the government regulations and third-party payor practices that may affect our ability to commercialize product candid</w:t>
      </w:r>
      <w:r>
        <w:rPr>
          <w:rFonts w:ascii="Times New Roman;serif" w:hAnsi="Times New Roman;serif"/>
          <w:b w:val="false"/>
          <w:color w:val="000000"/>
          <w:sz w:val="20"/>
          <w:shd w:fill="FFFFFF" w:val="clear"/>
        </w:rPr>
        <w:t>ates.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are subject to U.S. and certain foreign export and import controls, sanctions, embargoes, anti-corruption laws, and anti-money laundering laws and regulations. We can face criminal liability and other serious consequences for violations, which can harm our business.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In addition, the U.S. Congress recently enacted legislation that limits the ability of recipients of federal funding to work with certain designated biotech companies from China and other nations. The implications of this legislation for the pharmaceutical industry depend in part on a federal agency review process whose scope and effect are as yet unclear.</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We may engage third parties to sell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73685"/>
                <wp:effectExtent l="0" t="0" r="0" b="0"/>
                <wp:wrapNone/>
                <wp:docPr id="83" name="Frame8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Healthcare legislative, regulatory or policy reform measures may have a negative impact on our business and results of operations, and could prevent commercial success of our product candidates.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federal government and individual states continue to pursue healthcare reform, including promoting changes in healthcare systems with the stated goals of containing healthcare costs, lowering the cost of prescription drugs and biologics, improving quality and expanding access. The pharmaceutical industry has been a particular focus of these efforts and has been significantly affected by major legislative initiatives. The U.S. government and state legislatures have shown interest in implementing cost-containment programs to limit the growth of government-paid and private insurance healthcare costs, including proposed or implemented reforms involving price controls, restrictions on reimbursement and requirements for substitution of generic products for branded prescription drugs and implementing new requirements for, or eliminating caps on, rebates paid on products under government healthcare programs.</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For example, the ACA substantially changed the way healthcare is financed by both the government and private insurers, with significant impacts to the U.S. pharmaceutical industry. There have been judicial, congressional and executive branch challenges to certain aspects of the ACA, including efforts to repeal or replace certain aspects of the ACA. For example, the IRA,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w:t>
      </w:r>
      <w:r>
        <w:rPr>
          <w:rFonts w:ascii="Times New Roman;serif" w:hAnsi="Times New Roman;serif"/>
          <w:b w:val="false"/>
          <w:color w:val="000000"/>
          <w:sz w:val="20"/>
        </w:rPr>
        <w:t>In addition, an executive order issued on May 12, 2025 directs the Department of Health and Human Services (“HHS”) to implement a “Most Favored Nation” drug pricing policy, and the recently-enacted One Big Beautiful Bill Act imposes new restrictions on funding for government health care programs and on individual eligibility for coverage under those programs, which may lead to lower reimbursements for drugs covered by those programs. More recently, HHS has begun announcing new drug payment models to lower drug prices for government health care program beneficiaries, such as the GUARD and GENEROUS models announced by the agency in late 2025. These models would use the prices other countries pay for drugs as benchmarks for determining whether manufacturers are required to offer additional rebates. We cannot be sure whether additional legislation or rulemaking related to these developments will be issued or enacted, or what impact, if any, such changes will have on</w:t>
      </w:r>
      <w:r>
        <w:rPr>
          <w:color w:val="000000"/>
          <w:shd w:fill="FFFFFF" w:val="clear"/>
        </w:rPr>
        <w:t xml:space="preserve"> </w:t>
      </w:r>
      <w:r>
        <w:rPr>
          <w:rFonts w:ascii="Times New Roman;serif" w:hAnsi="Times New Roman;serif"/>
          <w:b w:val="false"/>
          <w:color w:val="000000"/>
          <w:sz w:val="20"/>
          <w:shd w:fill="FFFFFF" w:val="clear"/>
        </w:rPr>
        <w:t xml:space="preserve">our business. </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Additionally, in the United States,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We are unable to predict what additional legislation, regulations or policies, if any, relating to the healthcare industry or third-party coverage and reimbursement may be enacted in the future or what effect such legislation, regulations or policies would have on our business. Any cost containment measures or other healthcare system reforms that are adopted could significantly decrease the available coverage and the price we might establish for our product candidates and their commercial success, which would have an adverse effect on our business and results of operations.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Governments outside the United States may impose strict price controls, which may adversely affect our revenue, if any.</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some countries, particularly member states of the EU, the pricing of prescription drugs is subject to governmental control. In these countries, pricing negotiations with governmental authorities can take considerable time after receipt of marketing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To obtain coverage and reimbursement or pricing approvals in some countries, we or current or future collaborators of ours may be required to conduct a clinical trial or other studies that compare the cost-effectiveness of a product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approved for marketing is unavailable or limited in scope or amount, or if pricing is set at unsatisfactory levels, our business, financial condition, results of operations or prospects could be materially and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73685"/>
                <wp:effectExtent l="0" t="0" r="0" b="0"/>
                <wp:wrapNone/>
                <wp:docPr id="84" name="Frame8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While we have received Fast Track designation and Breakthrough Therapy designation for NGN-401 for the treatment of Rett syndrome and NGN-401 has been accepted into the FDA’s START Pilot Program and RMAT program and has received PRIME designation from the EMA, such designations may not lead to a faster development or regulatory review or approval process. </w:t>
      </w:r>
    </w:p>
    <w:p>
      <w:pPr>
        <w:pStyle w:val="TextBody"/>
        <w:bidi w:val="0"/>
        <w:spacing w:lineRule="auto" w:line="288" w:before="200" w:after="283"/>
        <w:ind w:left="0" w:right="0" w:firstLine="450"/>
        <w:jc w:val="both"/>
        <w:rPr/>
      </w:pPr>
      <w:r>
        <w:rPr>
          <w:rFonts w:ascii="Times New Roman;serif" w:hAnsi="Times New Roman;serif"/>
          <w:b w:val="false"/>
          <w:color w:val="000000"/>
          <w:sz w:val="20"/>
        </w:rPr>
        <w:t xml:space="preserve">In 2024, the FDA began accepting applications from sponsors for the START pilot program with the purpose of further accelerating the pace of development of novel drug and biological products that are intended to address an unmet medical need as a treatment for rare disease. The pilot is designed to be milestone-driven (i.e., to facilitate the progression of a development program to pivotal clinical study stage or the pre-BLA meeting stage) where product development programs selected would benefit from enhanced communication with the FDA. The START pilot program is intended to provide a mechanism for </w:t>
      </w:r>
      <w:r>
        <w:rPr>
          <w:rFonts w:ascii="Times New Roman;serif" w:hAnsi="Times New Roman;serif"/>
          <w:b w:val="false"/>
          <w:color w:val="000000"/>
          <w:sz w:val="20"/>
          <w:shd w:fill="FFFFFF" w:val="clear"/>
        </w:rPr>
        <w:t>addressing</w:t>
      </w:r>
      <w:r>
        <w:rPr>
          <w:color w:val="000000"/>
        </w:rPr>
        <w:t xml:space="preserve"> </w:t>
      </w:r>
      <w:r>
        <w:rPr>
          <w:rFonts w:ascii="Times New Roman;serif" w:hAnsi="Times New Roman;serif"/>
          <w:b w:val="false"/>
          <w:color w:val="000000"/>
          <w:sz w:val="20"/>
        </w:rPr>
        <w:t>clinical development issues that otherwise would delay or prevent a promising novel drug or biological product from progressing to the pivotal clinical trial stage or pre-BLA meeting stage. Participants in the START Pilot Program will receive enhanced communications with the FDA review staff.</w:t>
      </w:r>
      <w:r>
        <w:rPr>
          <w:color w:val="000000"/>
        </w:rPr>
        <w:t xml:space="preserve"> </w:t>
      </w:r>
      <w:r>
        <w:rPr>
          <w:rFonts w:ascii="Times New Roman;serif" w:hAnsi="Times New Roman;serif"/>
          <w:b w:val="false"/>
          <w:color w:val="000000"/>
          <w:sz w:val="20"/>
        </w:rPr>
        <w:t>These enhanced communications will include at a minimum an initial meeting to review features of the pilot, discuss a pathway intended to support a marketing application, and to discuss specific issues for which a sponsor requests enhanced communications with the FDA. Additional communications will include ongoing interactions via email or teleconference that take place on a scheduled and/or as needed basis as agreed upon by the sponsor to discuss information on how best to facilitate more efficient development of potentially life-saving therapies for rare diseases and help sponsors generate high-quality, actionable data to support future new drug or biologics license applications. In June 2024, we announced that our product candidate NGN-401 had been accepted into the FDA’s START Pilot Program, which we expect will allow us to have access to more frequent advice from FDA staff to address product-specific development issues, possibly including clinical study design, choice of control group, patient population choices and other early development issues. As part of the START program, in June 2025 we announced written agreement from the FDA on key aspects of the registrational trial design for Embolden, our registrational clinical trial designed to evaluate NGN-401 gene therapy in patients with Rett syndrome. Despite the registrational trial and even though our product candidate NGN-401 for Rett syndrome has been accepted into the START Pilot Program, this may not result in a faster approval process for NGN-401 as a product candidate.</w:t>
      </w:r>
    </w:p>
    <w:p>
      <w:pPr>
        <w:pStyle w:val="TextBody"/>
        <w:bidi w:val="0"/>
        <w:spacing w:lineRule="auto" w:line="288" w:before="200" w:after="283"/>
        <w:ind w:left="0" w:right="0" w:firstLine="450"/>
        <w:jc w:val="both"/>
        <w:rPr/>
      </w:pPr>
      <w:r>
        <w:rPr>
          <w:rFonts w:ascii="Times New Roman;serif" w:hAnsi="Times New Roman;serif"/>
          <w:b w:val="false"/>
          <w:color w:val="000000"/>
          <w:sz w:val="20"/>
        </w:rPr>
        <w:t xml:space="preserve">The FDA’s RMAT designation program is intended to fulfill the requirement of the 21st Century Cures Act that the FDA facilitate an efficient development program for, and expedite review of, any product that meets the following criteria: (1) it qualifies as an RMAT, which is defined </w:t>
      </w:r>
      <w:r>
        <w:rPr>
          <w:rFonts w:ascii="Times New Roman;serif" w:hAnsi="Times New Roman;serif"/>
          <w:b w:val="false"/>
          <w:color w:val="000000"/>
          <w:sz w:val="20"/>
          <w:shd w:fill="FFFFFF" w:val="clear"/>
        </w:rPr>
        <w:t>as</w:t>
      </w:r>
      <w:r>
        <w:rPr>
          <w:color w:val="000000"/>
        </w:rPr>
        <w:t xml:space="preserve"> </w:t>
      </w:r>
      <w:r>
        <w:rPr>
          <w:rFonts w:ascii="Times New Roman;serif" w:hAnsi="Times New Roman;serif"/>
          <w:b w:val="false"/>
          <w:color w:val="000000"/>
          <w:sz w:val="20"/>
        </w:rPr>
        <w:t>a cell therapy, therapeutic tissue engineering product, human cell and tissue product, or any combination product using such therapies or products, with limited exceptions; (2) it is intended to treat, modify, reverse, or cure a serious or life-threatening disease or condition; and (3) preliminary clinical evidence indicates that the product has the potential to address unmet medical needs for such a disease or condition. In 2024, the FDA granted an RMAT designation for NGN-401 for the treatment of Rett syndrome. RMAT designation provides potential benefits that include more frequent meetings with FDA to discuss the development plan for the product candidate, and eligibility for rolling review and priority review. Products granted RMAT designation may also be eligible for accelerated approval on the basis of a surrogate or intermediate endpoint reasonably likely to predict long-term clinical benefit, or may be able to rely upon data obtained from a meaningful number of sites, including through expansion to additional sites. RMAT designation does not change the standards for product approval, and there is no assurance that such designation will result in expedited review or approval or that the approved indication will not be narrower than the indication covered by the RMAT designation. Additionally, RMAT designation can be revoked if the criteria for eligibility cease to be met as clinical data emerges.</w:t>
      </w:r>
    </w:p>
    <w:p>
      <w:pPr>
        <w:pStyle w:val="TextBody"/>
        <w:bidi w:val="0"/>
        <w:spacing w:lineRule="auto" w:line="288" w:before="200" w:after="283"/>
        <w:ind w:left="0" w:right="0" w:firstLine="450"/>
        <w:jc w:val="both"/>
        <w:rPr/>
      </w:pPr>
      <w:r>
        <w:rPr>
          <w:rFonts w:ascii="Times New Roman;serif" w:hAnsi="Times New Roman;serif"/>
          <w:b w:val="false"/>
          <w:color w:val="000000"/>
          <w:sz w:val="20"/>
        </w:rPr>
        <w:t xml:space="preserve">The FDA may also designate a product candidate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w:t>
      </w:r>
      <w:r>
        <w:rPr>
          <w:rFonts w:ascii="Times New Roman;serif" w:hAnsi="Times New Roman;serif"/>
          <w:b w:val="false"/>
          <w:color w:val="000000"/>
          <w:sz w:val="20"/>
          <w:shd w:fill="FFFFFF" w:val="clear"/>
        </w:rPr>
        <w:t>application</w:t>
      </w:r>
      <w:r>
        <w:rPr>
          <w:color w:val="000000"/>
        </w:rPr>
        <w:t xml:space="preserve"> </w:t>
      </w:r>
      <w:r>
        <w:rPr>
          <w:rFonts w:ascii="Times New Roman;serif" w:hAnsi="Times New Roman;serif"/>
          <w:b w:val="false"/>
          <w:color w:val="000000"/>
          <w:sz w:val="20"/>
        </w:rPr>
        <w:t xml:space="preserve">is complete. This rolling review may be available if the FDA determines, after preliminary evaluation of clinical data submitted by the sponsor, that a Fast Track product may be effective. We have received Fast Track designation in the United States for NGN-401 for the treatment of Rett syndrome and we may seek additional designations for one or more of our other product candidates that could expedite review and approval by the FDA. </w:t>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FDA may designate a product candidate for Breakthrough Therapy designation if the product candidate is intended, alone or in combination with one or more other products, to treat a serious or life threatening disease or condition has preliminary clinical evidence which indicates that the product may demonstrate substantial improvement over existing therapies on one or more clinically significant endpoints, such as substantial treatment effects observed early in clinical development. The benefits of Breakthrough Therapy designation include eligibility for Priority Review, rolling submission of sections of the BLA and the FDA’s organizational commitment to help determine an efficient route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73685"/>
                <wp:effectExtent l="0" t="0" r="0" b="0"/>
                <wp:wrapNone/>
                <wp:docPr id="85" name="Frame8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approval. In February 2026, the FDA granted Breakthrough Therapy designation to NGN-401 for the treatment of Rett syndrome following review of interim clinical data as of October 30, 2025. We may also seek Breakthrough Therapy designation for one or more of our other product candidates in the future. </w:t>
      </w:r>
    </w:p>
    <w:p>
      <w:pPr>
        <w:pStyle w:val="TextBody"/>
        <w:bidi w:val="0"/>
        <w:spacing w:lineRule="auto" w:line="288" w:before="200" w:after="283"/>
        <w:ind w:left="0" w:right="0" w:firstLine="450"/>
        <w:jc w:val="both"/>
        <w:rPr/>
      </w:pPr>
      <w:r>
        <w:rPr>
          <w:rFonts w:ascii="Times New Roman;serif" w:hAnsi="Times New Roman;serif"/>
          <w:b w:val="false"/>
          <w:color w:val="000000"/>
          <w:sz w:val="20"/>
        </w:rPr>
        <w:t>Participation in the START Pilot Program, RMAT designation, Breakthrough Therapy designation and the designation of a product for Fast Track review are within the discretion of the FDA.</w:t>
      </w:r>
      <w:r>
        <w:rPr>
          <w:color w:val="000000"/>
        </w:rPr>
        <w:t xml:space="preserve"> </w:t>
      </w:r>
      <w:r>
        <w:rPr>
          <w:rFonts w:ascii="Times New Roman;serif" w:hAnsi="Times New Roman;serif"/>
          <w:b w:val="false"/>
          <w:color w:val="000000"/>
          <w:sz w:val="20"/>
        </w:rPr>
        <w:t>In addition, the START Pilot Program is still relatively new, having been established in 2024, so there is little historical information on how that program is expected to be administered, and the stated intentions of the program may not be met, or the program may cease to have appropriate funding due to changes in the regulatory landscape.</w:t>
      </w:r>
      <w:r>
        <w:rPr>
          <w:color w:val="000000"/>
        </w:rPr>
        <w:t xml:space="preserve"> </w:t>
      </w:r>
      <w:r>
        <w:rPr>
          <w:rFonts w:ascii="Times New Roman;serif" w:hAnsi="Times New Roman;serif"/>
          <w:b w:val="false"/>
          <w:color w:val="000000"/>
          <w:sz w:val="20"/>
        </w:rPr>
        <w:t>Moreover, neither participation in the START Pilot Program nor the receipt of either Fast Track designation, Breakthrough Therapy designation or RMAT designation for a product candidate is any guarantee that there will be faster development or a faster or more streamlined regulatory review or approval process compared to products considered for approval under conventional FDA procedures.</w:t>
      </w:r>
      <w:r>
        <w:rPr>
          <w:color w:val="000000"/>
        </w:rPr>
        <w:t xml:space="preserve"> </w:t>
      </w:r>
      <w:r>
        <w:rPr>
          <w:rFonts w:ascii="Times New Roman;serif" w:hAnsi="Times New Roman;serif"/>
          <w:b w:val="false"/>
          <w:color w:val="000000"/>
          <w:sz w:val="20"/>
        </w:rPr>
        <w:t>Neither participation in the START Pilot Program nor any of Fast Track designation, Breakthrough Therapy designation or RMAT designation will assure ultimate approval by the FDA. In addition, the FDA may later decide that the product candidates no longer meet the conditions to qualify for those programs, and we may not receive the benefits of those programs for the relevant product candidate, or decide that the time period for FDA review or approval will not be shortened. Additionally, changes in the leadership of the FDA and other actions taken by the Trump Administration, including mass layoffs within the federal government, may impose constraints on the FDA’s ability to engage in activities in the normal course and may result in reductions to the FDA’s budget, employees and operations, which may lead to slower response times and longer review periods, potentially affecting our ability to take advantage of the benefits for the START program or any of the other designations granted to NGN-401, and progress development of our product candidates or obtain regulatory approval for our product candidates may be delayed.</w:t>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we have also received PRIME designation from the EMA for NGN-401. PRIME is intended to enhance support for the development of medicines that target an unmet medical need, and is expected to allow enhanced interaction and early dialogue between us and the EMA on development plans for NGN-401 and to potentially speed up the evaluation process. However, similar to the START Pilot Program and Fast Track designation, we cannot be sure that the PRIME designation will actually result in a faster development time or more streamlined review, or that we will necessarily pursue the benefits of the program with respect to development of our product in the European market.</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We may seek certain additional designations for our product candidates, including Priority Review designations by the FDA, however, even if we receive such designations, there is no guarantee that they would lead to faster development or regulatory review timelines or increase the likelihood of marketing approval for such product candidate.</w:t>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seek priority review designation for one or more of our product candidates. If the FDA determines that a product candidate offers a treatment for a serious condition, and if approved, would provide a significant improvement in safety or effectiveness where no adequate therapy exists, the FDA may designate the product candidate for priority review. A priority review designation means that the goal for the FDA to review an application is six months, rather than the standard review period of ten months.</w:t>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with the Fast Track, RMAT and Breakthrough Therapy designations and selection for participation in the START Pilot Program, the Priority Review designation is within the discretion of the FDA. Even if we believe that one or more of our product candidates meets the criteria for these designations, the FDA may not agree and instead determine to not make such a designation. Even if one or more of our product candidates qualifies for these designations, the FDA may later decide that such product candidate no longer meets the conditions for that designation, and we may not receive the benefits of the designation for that product candidate. If a product candidate is awarded Priority Review designation by the FDA, it may not result in a faster or more streamlined regulatory review or approval process compared to products considered for approval under conventional FDA procedures, and it does not ensure ultimate marketing approval of such product candidate by the FDA. </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have received orphan drug designation for NGN-401 for the treatment of Rett syndrome and we may seek orphan drug designation for certain future product candidates, but we may be unable to obtain such designations or to maintain the benefits associated with orphan drug designation, including market exclusivity, which may cause our revenue, if any, to be reduced.</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received orphan drug designation from the FDA and orphan drug designation and advanced therapy medicinal product designation from the European Medicines Agency (“EMA”) for NGN-401 for the treatment of Rett syndrome. Although we may seek orphan product designation for some or all of our other product candidates, we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73685"/>
                <wp:effectExtent l="0" t="0" r="0" b="0"/>
                <wp:wrapNone/>
                <wp:docPr id="86" name="Frame8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never receive such designations. Under the Orphan Drug Act, the FDA may designate a drug or biological product as an orphan drug if it is intended </w:t>
      </w:r>
      <w:r>
        <w:rPr>
          <w:rFonts w:ascii="Times New Roman;serif" w:hAnsi="Times New Roman;serif"/>
          <w:b w:val="false"/>
          <w:color w:val="000000"/>
          <w:sz w:val="20"/>
        </w:rPr>
        <w:t>to</w:t>
      </w:r>
      <w:r>
        <w:rPr>
          <w:color w:val="000000"/>
          <w:shd w:fill="FFFFFF" w:val="clear"/>
        </w:rPr>
        <w:t xml:space="preserve"> </w:t>
      </w:r>
      <w:r>
        <w:rPr>
          <w:rFonts w:ascii="Times New Roman;serif" w:hAnsi="Times New Roman;serif"/>
          <w:b w:val="false"/>
          <w:color w:val="000000"/>
          <w:sz w:val="20"/>
          <w:shd w:fill="FFFFFF" w:val="clear"/>
        </w:rPr>
        <w:t>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Orphan drug designation must be requested before submitting a BLA. In the EU, the EMA’s Committee for Orphan Medicinal Products grants orphan drug designation to promote the development of products that are intended for the diagnosis, prevention, or treatment of a life-threatening or chronically debilitating condition affecting not more 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In the United </w:t>
      </w:r>
      <w:r>
        <w:rPr>
          <w:rFonts w:ascii="Times New Roman;serif" w:hAnsi="Times New Roman;serif"/>
          <w:b w:val="false"/>
          <w:color w:val="000000"/>
          <w:sz w:val="20"/>
        </w:rPr>
        <w:t>States</w:t>
      </w:r>
      <w:r>
        <w:rPr>
          <w:rFonts w:ascii="Times New Roman;serif" w:hAnsi="Times New Roman;serif"/>
          <w:b w:val="false"/>
          <w:color w:val="000000"/>
          <w:sz w:val="20"/>
          <w:shd w:fill="FFFFFF" w:val="clear"/>
        </w:rPr>
        <w:t>,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In addition, if a product receives the first FDA approval for the indication for which it has orphan designation, the product is entitled to orphan drug exclusivity, which means the FDA may not approve any other application to market the same drug for the same </w:t>
      </w:r>
      <w:r>
        <w:rPr>
          <w:rFonts w:ascii="Times New Roman;serif" w:hAnsi="Times New Roman;serif"/>
          <w:b w:val="false"/>
          <w:color w:val="000000"/>
          <w:sz w:val="20"/>
        </w:rPr>
        <w:t>approved</w:t>
      </w:r>
      <w:r>
        <w:rPr>
          <w:color w:val="000000"/>
          <w:shd w:fill="FFFFFF" w:val="clear"/>
        </w:rPr>
        <w:t xml:space="preserve"> </w:t>
      </w:r>
      <w:r>
        <w:rPr>
          <w:rFonts w:ascii="Times New Roman;serif" w:hAnsi="Times New Roman;serif"/>
          <w:b w:val="false"/>
          <w:color w:val="000000"/>
          <w:sz w:val="20"/>
          <w:shd w:fill="FFFFFF" w:val="clear"/>
        </w:rPr>
        <w:t>use or indication for a period of seven years, except in limited circumstances, such as a showing of clinical superiority over the product with orphan exclusivity or where the manufacturer is unable to assure sufficient product quantity for the needs of the orphan patient population for the same use or indication for which the already approved or licensed drug was approved or licensed. Exclusive marketing rights in the United States may also be unavailable if we or our collaborators seek approval for an indication broader than the orphan designated indication and may be lost if the FDA later determines that the request for designation was materially defective. In the EU,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Even with an orphan drug designation for our current and potential future product candidates, we may not be the first to obtain marketing approval for any particular orphan indication due to the uncertainties associated with developing pharmaceutical products. </w:t>
      </w:r>
      <w:r>
        <w:rPr>
          <w:rFonts w:ascii="Times New Roman;serif" w:hAnsi="Times New Roman;serif"/>
          <w:b w:val="false"/>
          <w:color w:val="000000"/>
          <w:sz w:val="20"/>
        </w:rPr>
        <w:t>Further</w:t>
      </w:r>
      <w:r>
        <w:rPr>
          <w:rFonts w:ascii="Times New Roman;serif" w:hAnsi="Times New Roman;serif"/>
          <w:b w:val="false"/>
          <w:color w:val="000000"/>
          <w:sz w:val="20"/>
          <w:shd w:fill="FFFFFF" w:val="clear"/>
        </w:rPr>
        <w:t>, even if we obtain orphan drug exclusivity for an existing or future product candidate, that exclusivity may not effectively protect the product from competition because different drugs with different active moieties still can be approved for the same condition even with an orphan drug designation. Even after an orphan drug is approved, the FDA can subsequently approve the same drug with the same active moiety for the same condition if the FDA concludes that the later drug is clinically superior in that it is safer, more effective, or makes a major contribution to patient care. Orphan drug designation neither shortens the development time or regulatory review time of a drug or biologic nor gives the drug or biologic any advantage in the regulatory review or approval process.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have received Rare Pediatric Disease designation by the FDA for NGN-401 for the treatment of Rett syndrome. However, Rare Pediatric Disease designation for any of our product candidates does not guarantee that the BLA for the product will qualify for a priority review voucher upon approval, and it does not lead to a faster development or regulatory review process, or increase the likelihood that our product candidates will receive marketing approval.</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Under the Rare Pediatric Disease Priority Review Voucher program, upon the approval of a qualifying BLA for the treatment of a rare pediatric disease, the sponsor of such an application would be eligible for a rare pediatric disease priority review voucher that </w:t>
      </w:r>
      <w:r>
        <w:rPr>
          <w:rFonts w:ascii="Times New Roman;serif" w:hAnsi="Times New Roman;serif"/>
          <w:b w:val="false"/>
          <w:color w:val="000000"/>
          <w:sz w:val="20"/>
        </w:rPr>
        <w:t>can</w:t>
      </w:r>
      <w:r>
        <w:rPr>
          <w:color w:val="000000"/>
          <w:shd w:fill="FFFFFF" w:val="clear"/>
        </w:rPr>
        <w:t xml:space="preserve"> </w:t>
      </w:r>
      <w:r>
        <w:rPr>
          <w:rFonts w:ascii="Times New Roman;serif" w:hAnsi="Times New Roman;serif"/>
          <w:b w:val="false"/>
          <w:color w:val="000000"/>
          <w:sz w:val="20"/>
          <w:shd w:fill="FFFFFF" w:val="clear"/>
        </w:rPr>
        <w:t>be used to obtain priority review for a subsequent BLA or NDA. A product candidate that received Rare Pediatric Disease designation is eligible to receive a voucher if it is approved by September 30, 2029. While we have obtained Rare Pediatric Disease designation for NGN-401 for the treatment of Rett syndrome, in order to obtain a priority review voucher, NGN-401 must be approved by September 30, 2029. If approval is not obtained by then, we would not be in a position to obtain a priority review voucher, unless Congress further reauthorizes the program beyond the current sunset date. Additionally, designation of a biological product for a rare pediatric disease does not guarantee that a BLA will meet the eligibility criteria for a rare pediatric disease priority review voucher at the time the application is approved. Finally, a Rare Pediatric Disease designation does not lead to faster development or regulatory review of the product or increase the likelihood that it will receive marketing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73685"/>
                <wp:effectExtent l="0" t="0" r="0" b="0"/>
                <wp:wrapNone/>
                <wp:docPr id="87" name="Frame8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General Risk Factors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estimates of market opportunity and forecasts of market growth may prove to be inaccurate, and even if the markets in which we compete achieve the forecasted growth, our business may not grow at similar rates, or at all.</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w:t>
      </w:r>
      <w:r>
        <w:rPr>
          <w:rFonts w:ascii="Times New Roman;serif" w:hAnsi="Times New Roman;serif"/>
          <w:b w:val="false"/>
          <w:color w:val="000000"/>
          <w:sz w:val="20"/>
        </w:rPr>
        <w:t>business</w:t>
      </w:r>
      <w:r>
        <w:rPr>
          <w:color w:val="000000"/>
          <w:shd w:fill="FFFFFF" w:val="clear"/>
        </w:rPr>
        <w:t xml:space="preserve"> </w:t>
      </w:r>
      <w:r>
        <w:rPr>
          <w:rFonts w:ascii="Times New Roman;serif" w:hAnsi="Times New Roman;serif"/>
          <w:b w:val="false"/>
          <w:color w:val="000000"/>
          <w:sz w:val="20"/>
          <w:shd w:fill="FFFFFF" w:val="clear"/>
        </w:rPr>
        <w:t>may not grow at similar rates, or at all. Our growth is subject to many factors, including our success in implementing our business strategy, which is subject to many risks and uncertainties.</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Our revenue will be dependent, in part, upon the size of the markets in the territories for which we gain regulatory approval, the accepted price for the product, the ability to obtain coverage and reimbursement and whether we own the commercial rights for that </w:t>
      </w:r>
      <w:r>
        <w:rPr>
          <w:rFonts w:ascii="Times New Roman;serif" w:hAnsi="Times New Roman;serif"/>
          <w:b w:val="false"/>
          <w:color w:val="000000"/>
          <w:sz w:val="20"/>
        </w:rPr>
        <w:t>territory</w:t>
      </w:r>
      <w:r>
        <w:rPr>
          <w:rFonts w:ascii="Times New Roman;serif" w:hAnsi="Times New Roman;serif"/>
          <w:b w:val="false"/>
          <w:color w:val="000000"/>
          <w:sz w:val="20"/>
          <w:shd w:fill="FFFFFF" w:val="clear"/>
        </w:rPr>
        <w:t>.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become exposed to costly and damaging liability claims, either when testing a product candidate in the clinical or at the commercial stage, and our product liability insurance may not cover all damages from such claims.</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We are exposed to potential product liability and professional indemnity risks that are inherent in the research, development, manufacturing, marketing, and use of pharmaceutical products. While we currently have no products that have been approved for commercial sale, the current and future use of a product candidate in clinical trials, and the sale of any approved products in the future, may expose us to liability claims. These claims may be made by patients that use the product, healthcare providers, pharmaceutical companies, or others selling such product. Any claims against us, regardless of their merit, could be difficult and costly to defend and could materially and adversely affect the market for our products or any prospects for </w:t>
      </w:r>
      <w:r>
        <w:rPr>
          <w:rFonts w:ascii="Times New Roman;serif" w:hAnsi="Times New Roman;serif"/>
          <w:b w:val="false"/>
          <w:color w:val="000000"/>
          <w:sz w:val="20"/>
        </w:rPr>
        <w:t>commercialization</w:t>
      </w:r>
      <w:r>
        <w:rPr>
          <w:color w:val="000000"/>
          <w:shd w:fill="FFFFFF" w:val="clear"/>
        </w:rPr>
        <w:t xml:space="preserve"> </w:t>
      </w:r>
      <w:r>
        <w:rPr>
          <w:rFonts w:ascii="Times New Roman;serif" w:hAnsi="Times New Roman;serif"/>
          <w:b w:val="false"/>
          <w:color w:val="000000"/>
          <w:sz w:val="20"/>
          <w:shd w:fill="FFFFFF" w:val="clear"/>
        </w:rPr>
        <w:t>of our products. Although we believe we currently maintain adequate product liability insurance for NGN-401, NGN-101 and other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Our manufacturing facility is located in Houston, Texas, making us vulnerable to risks (including weather-related risks) associated with maintaining those operations in a single geographic area.</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Our manufacturing facility is located in Houston, Texas, which is subject to extreme weather events such as hurricanes and other significant storms, which can cause interruption to our utilities and potentially result in damage to our facility, limit the ability of suppliers to reach us during such disruptions and adversely impact our manufacturing processes. For example, in July 2024, our facility in Houston sustained five days of power loss from the impact of Hurricane Beryl, which was a Category 1 hurricane. While we were able to maintain power to critical systems through the use of our generators, the outage caused a minor delay in our development activities and caused disruptions in our manufacturing processes, including in our clean rooms. The impact of Hurricane Beryl was not material to our operations, however, future weather events could cause </w:t>
      </w:r>
      <w:r>
        <w:rPr>
          <w:rFonts w:ascii="Times New Roman;serif" w:hAnsi="Times New Roman;serif"/>
          <w:b w:val="false"/>
          <w:color w:val="000000"/>
          <w:sz w:val="20"/>
        </w:rPr>
        <w:t>more</w:t>
      </w:r>
      <w:r>
        <w:rPr>
          <w:color w:val="000000"/>
          <w:shd w:fill="FFFFFF" w:val="clear"/>
        </w:rPr>
        <w:t xml:space="preserve"> </w:t>
      </w:r>
      <w:r>
        <w:rPr>
          <w:rFonts w:ascii="Times New Roman;serif" w:hAnsi="Times New Roman;serif"/>
          <w:b w:val="false"/>
          <w:color w:val="000000"/>
          <w:sz w:val="20"/>
          <w:shd w:fill="FFFFFF" w:val="clear"/>
        </w:rPr>
        <w:t xml:space="preserve">disruption, including the potential for a sustained loss of power that could result in costly delays to our manufacturing process or the loss of certain materials stored in our facility, which could in turn have a material adverse effect on our product development timeline and results of operations. </w:t>
      </w:r>
    </w:p>
    <w:p>
      <w:pPr>
        <w:pStyle w:val="TextBody"/>
        <w:bidi w:val="0"/>
        <w:spacing w:lineRule="auto" w:line="288" w:before="20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Litigation costs and the outcome of litigation could have a material adverse effect on our business.</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From time to time we may be subject to litigation claims through the ordinary course of our business operations regarding, but not limited to, employment matters, security of patient and employee personal information, contractual relations with collaborators and </w:t>
      </w:r>
      <w:r>
        <w:rPr>
          <w:rFonts w:ascii="Times New Roman;serif" w:hAnsi="Times New Roman;serif"/>
          <w:b w:val="false"/>
          <w:color w:val="000000"/>
          <w:sz w:val="20"/>
        </w:rPr>
        <w:t>intellectual</w:t>
      </w:r>
      <w:r>
        <w:rPr>
          <w:color w:val="000000"/>
          <w:shd w:fill="FFFFFF" w:val="clear"/>
        </w:rPr>
        <w:t xml:space="preserve"> </w:t>
      </w:r>
      <w:r>
        <w:rPr>
          <w:rFonts w:ascii="Times New Roman;serif" w:hAnsi="Times New Roman;serif"/>
          <w:b w:val="false"/>
          <w:color w:val="000000"/>
          <w:sz w:val="20"/>
          <w:shd w:fill="FFFFFF" w:val="clear"/>
        </w:rPr>
        <w:t>property rights. Litigation to defend ourselves against claims by third parties, or to enforce any rights that we may have against third parties, may continue to be necessary, which could result in substantial costs and diversion of our resources, causing a material adverse effect on our business, financial condition,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73685"/>
                <wp:effectExtent l="0" t="0" r="0" b="0"/>
                <wp:wrapNone/>
                <wp:docPr id="88" name="Frame8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business could be adversely affected by economic volatility, inflation, fluctuations in interest rates, natural disasters, public health crises, political crises, geopolitical events or other macroeconomic conditions, which could have a material and adverse effect on our results of operations and financial condition.</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The global economy, including credit and financial markets, has experienced and may experience in the future extreme volatility and disruptions, including, among other things, diminished liquidity and credit availability, declines in consumer confidence, declines in economic growth, supply chain shortages, burdensome tariff regimes and retaliatory trade measures, trade and other international disputes, increases in inflation rates, fluctuating interest rates, slower growth or recession, tighter credit, </w:t>
      </w:r>
      <w:r>
        <w:rPr>
          <w:rFonts w:ascii="Times New Roman;serif" w:hAnsi="Times New Roman;serif"/>
          <w:b w:val="false"/>
          <w:color w:val="000000"/>
          <w:sz w:val="20"/>
        </w:rPr>
        <w:t>volatility</w:t>
      </w:r>
      <w:r>
        <w:rPr>
          <w:color w:val="000000"/>
          <w:shd w:fill="FFFFFF" w:val="clear"/>
        </w:rPr>
        <w:t xml:space="preserve"> </w:t>
      </w:r>
      <w:r>
        <w:rPr>
          <w:rFonts w:ascii="Times New Roman;serif" w:hAnsi="Times New Roman;serif"/>
          <w:b w:val="false"/>
          <w:color w:val="000000"/>
          <w:sz w:val="20"/>
          <w:shd w:fill="FFFFFF" w:val="clear"/>
        </w:rPr>
        <w:t>in financial markets, high unemployment, labor availability constraints, public health crises, significant natural disasters, including as a result of climate change, changes to fiscal and monetary policy or government budget dynamics (particularly in the pharmaceutical and biotechnology areas), government shutdowns, political and military conflict, and uncertainty about economic stability.</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In September 2025, the United States announced plans to impose up to 100% tariffs on imported branded or patented pharmaceuticals, subject to certain exceptions, and in April 2026, the U.S. Administration issued a Proclamation regarding the imposition of such tariffs. While </w:t>
      </w: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shd w:fill="FFFFFF" w:val="clear"/>
        </w:rPr>
        <w:t>U.S. government has granted exemptions or lower reciprocal rates (often 15% or less) to certain trading partners—such as the United Kingdom, Argentina, and South Korea—and provided relief to companies entering into "Most Favored Nation" pricing agreements or committing to U.S. manufacturing, there is no guarantee that our specific product candidates or their components will qualify for such relief. These tariffs apply to many active pharmaceutical ingredients and bulk drug products, including those intended for clinical use, which has increased the costs of our clinical trials. Historically, tariffs have led to increased trade and political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The ongoing shift toward bilateral "reciprocal" trade deals creates a fragmented global market that may increase our administrative and compliance costs. Fluctuating interest rates, coupled with reduced government spending and volatility in financial markets, may increase economic uncertainty and affect consumer spending. Similarly, tensions with China, the ongoing military conflict between Russia and Ukraine and in the Middle East and the related volatility in the price of oil and other commodity prices, and heightened tensions in the Persian Gulf in early 2026 which escalated into a major military conflict throughout the region with significant continued uncertainty and instability have impacted energy costs, costs of goods and services, and created extreme volatility in the global capital markets and may have further global economic consequences, including increased disruptions of the global supply chain. Any such volatility and disruptions may adversely affect our business or the third parties on whom we rely. If the equity and credit markets deteriorate, including as a result of economic or political uncertainty, political unrest or war, it may make any necessary debt or equity financing more costly, more dilutive, or more difficult to obtain in a timely manner or on favorable terms, if at all. Increased inflation rates can adversely affect us by increasing our costs, including materials, operational labor and employee benefit costs.</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We may in the future experience disruptions as a result of such macroeconomic conditions, including delays or difficulties in initiating or </w:t>
      </w:r>
      <w:r>
        <w:rPr>
          <w:rFonts w:ascii="Times New Roman;serif" w:hAnsi="Times New Roman;serif"/>
          <w:b w:val="false"/>
          <w:color w:val="000000"/>
          <w:sz w:val="20"/>
        </w:rPr>
        <w:t>expanding</w:t>
      </w:r>
      <w:r>
        <w:rPr>
          <w:color w:val="000000"/>
          <w:shd w:fill="FFFFFF" w:val="clear"/>
        </w:rPr>
        <w:t xml:space="preserve"> </w:t>
      </w:r>
      <w:r>
        <w:rPr>
          <w:rFonts w:ascii="Times New Roman;serif" w:hAnsi="Times New Roman;serif"/>
          <w:b w:val="false"/>
          <w:color w:val="000000"/>
          <w:sz w:val="20"/>
          <w:shd w:fill="FFFFFF" w:val="clear"/>
        </w:rPr>
        <w:t>clinical trials and manufacturing sufficient quantities of materials. Any one or a combination of these events could have a material and adverse effect on our results of operations and financial condition.</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Geopolitical events and global economic conditions may also affect the ability of the FDA and other regulatory authorities to perform routine functions. For example, recent internal agency reorganizations and workforce reductions at the FDA and DOJ may impact </w:t>
      </w:r>
      <w:r>
        <w:rPr>
          <w:rFonts w:ascii="Times New Roman;serif" w:hAnsi="Times New Roman;serif"/>
          <w:b w:val="false"/>
          <w:color w:val="000000"/>
          <w:sz w:val="20"/>
        </w:rPr>
        <w:t>inspection</w:t>
      </w:r>
      <w:r>
        <w:rPr>
          <w:color w:val="000000"/>
          <w:shd w:fill="FFFFFF" w:val="clear"/>
        </w:rPr>
        <w:t xml:space="preserve"> </w:t>
      </w:r>
      <w:r>
        <w:rPr>
          <w:rFonts w:ascii="Times New Roman;serif" w:hAnsi="Times New Roman;serif"/>
          <w:b w:val="false"/>
          <w:color w:val="000000"/>
          <w:sz w:val="20"/>
          <w:shd w:fill="FFFFFF" w:val="clear"/>
        </w:rPr>
        <w:t>capacity, investigative timelines, and the pacing of marketing application reviews. If such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Owning Our Stock</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market price of our common stock may continue to be volatile.</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The market price of </w:t>
      </w:r>
      <w:r>
        <w:rPr>
          <w:rFonts w:ascii="Times New Roman;serif" w:hAnsi="Times New Roman;serif"/>
          <w:b w:val="false"/>
          <w:color w:val="000000"/>
          <w:sz w:val="20"/>
        </w:rPr>
        <w:t>our</w:t>
      </w:r>
      <w:r>
        <w:rPr>
          <w:color w:val="000000"/>
          <w:shd w:fill="FFFFFF" w:val="clear"/>
        </w:rPr>
        <w:t xml:space="preserve"> </w:t>
      </w:r>
      <w:r>
        <w:rPr>
          <w:rFonts w:ascii="Times New Roman;serif" w:hAnsi="Times New Roman;serif"/>
          <w:b w:val="false"/>
          <w:color w:val="000000"/>
          <w:sz w:val="20"/>
          <w:shd w:fill="FFFFFF" w:val="clear"/>
        </w:rPr>
        <w:t>common stock following the merger has been and may continue to be subject to significant fluctuations. Some of the factors that may cause the market price of our common stock to fluctuate include:</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timing and results of clinical trials and preclinical studies of our product candidates, or those of our competitors or our existing or future collaborators;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failure to meet or exceed financial and development projections that we may provide to the public;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73685"/>
                <wp:effectExtent l="0" t="0" r="0" b="0"/>
                <wp:wrapNone/>
                <wp:docPr id="89" name="Frame8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failure to meet or exceed the financial and development projections of the investment community;</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failure to achieve the perceived benefits of the merger as rapidly or to the extent anticipated by financial or industry analysts;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announcements of significant acquisitions, strategic collaborations, joint ventures or capital commitments by us or our competitors;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actions taken by regulatory agencies with respect to our product candidates, clinical studies, manufacturing process or sales and marketing terms;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disputes or other developments relating to proprietary rights, including patents, litigation matters, and our ability to obtain patent protection for our technologies;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additions or departures of key personnel;</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significant lawsuits, including patent or stockholder litigation;</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if securities or industry analysts do not publish research or reports about our business, or if they issue adverse or misleading opinions regarding our business and stock;</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changes in the market valuations of similar companies;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general market, macroeconomic or geopolitical conditions or market conditions in the pharmaceutical and biotechnology sectors;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sales of securities by us or our securityholders in the future;</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if we fail to raise an adequate amount of capital to fund our operations or continued development of our product candidates;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trading volume of our common stock;</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announcements by competitors of new commercial products, clinical progress or lack thereof, significant contracts, commercial relationships or capital commitments;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adverse publicity relating to gene therapy product candidates, including with respect to other products in such markets;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introduction of technological innovations or new therapies that compete with our products; and</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period-to-period fluctuations in our financial results.</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Moreover, the stock markets in general have experienced substantial volatility that has often been unrelated to the operating </w:t>
      </w:r>
      <w:r>
        <w:rPr>
          <w:rFonts w:ascii="Times New Roman;serif" w:hAnsi="Times New Roman;serif"/>
          <w:b w:val="false"/>
          <w:color w:val="000000"/>
          <w:sz w:val="20"/>
        </w:rPr>
        <w:t>performance</w:t>
      </w:r>
      <w:r>
        <w:rPr>
          <w:color w:val="000000"/>
          <w:shd w:fill="FFFFFF" w:val="clear"/>
        </w:rPr>
        <w:t xml:space="preserve"> </w:t>
      </w:r>
      <w:r>
        <w:rPr>
          <w:rFonts w:ascii="Times New Roman;serif" w:hAnsi="Times New Roman;serif"/>
          <w:b w:val="false"/>
          <w:color w:val="000000"/>
          <w:sz w:val="20"/>
          <w:shd w:fill="FFFFFF" w:val="clear"/>
        </w:rPr>
        <w:t>of individual companies. For example, escalating trade tensions, fluctuations in interest rates and regulatory uncertainty have caused significant market volatility in recent years, and particularly in the biotechnology and biopharmaceutical industries.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stockholder activism or securities litigation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financial condition and cash flows. Class action securities litigation, if instituted, could result in substantial costs and diversion of management attention and resources, which could significantly harm our profitability and reputation.</w:t>
      </w:r>
    </w:p>
    <w:p>
      <w:pPr>
        <w:pStyle w:val="TextBody"/>
        <w:bidi w:val="0"/>
        <w:spacing w:lineRule="auto" w:line="288" w:before="20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be required to allocate resources to fulfill the requirements of the CVR Agreement entered into in connection with the Reverse Merger related to certain legacy lease obligations which may take away from our core programs and create a distraction for our management and employees.</w:t>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December 18, 2023, we completed our business combination with our wholly owned subsidiary incorporated in the state of Nevada and also named Neurogene Inc. (“Neurogene OpCo”) in accordance with the terms of the Agreement and Plan of Merger, dated as of July 17, 2023 (the “Merger Agreement”), by and among the Company, Project North Merger Sub, Inc., a Delaware corporation and a wholly owned subsidiary of the Company (“Merger Sub”), and Neurogene OpCo, pursuant to which, among other matters, Merger Sub merged with and into Neurogene OpCo, with Neurogene OpCo surviving as a wholly owned subsidiary of the Company (the “Reverse Merger”).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73685"/>
                <wp:effectExtent l="0" t="0" r="0" b="0"/>
                <wp:wrapNone/>
                <wp:docPr id="90" name="Frame8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In connection with the Reverse Merger, we declared a dividend to each person who, as of immediately prior to the effective time of the Reverse Merger, was a stockholder of the Company or had the right to receive our common stock pursuant to an existing </w:t>
      </w:r>
      <w:r>
        <w:rPr>
          <w:rFonts w:ascii="Times New Roman;serif" w:hAnsi="Times New Roman;serif"/>
          <w:b w:val="false"/>
          <w:color w:val="000000"/>
          <w:sz w:val="20"/>
        </w:rPr>
        <w:t>pre-funded</w:t>
      </w:r>
      <w:r>
        <w:rPr>
          <w:color w:val="000000"/>
          <w:shd w:fill="FFFFFF" w:val="clear"/>
        </w:rPr>
        <w:t> </w:t>
      </w:r>
      <w:r>
        <w:rPr>
          <w:rFonts w:ascii="Times New Roman;serif" w:hAnsi="Times New Roman;serif"/>
          <w:b w:val="false"/>
          <w:color w:val="000000"/>
          <w:sz w:val="20"/>
          <w:shd w:fill="FFFFFF" w:val="clear"/>
        </w:rPr>
        <w:t xml:space="preserve">warrant, of the right to receive one non-transferable contingent value right (each, a “CVR”) for each then outstanding share of our common stock (before giving effect to </w:t>
      </w:r>
      <w:r>
        <w:rPr>
          <w:rFonts w:ascii="Times New Roman;serif" w:hAnsi="Times New Roman;serif"/>
          <w:b w:val="false"/>
          <w:color w:val="000000"/>
          <w:sz w:val="20"/>
        </w:rPr>
        <w:t>a 1-for-4 reverse stock split (the “Reverse Stock Split”) that was implemented immediately prior to the effective time</w:t>
      </w:r>
      <w:r>
        <w:rPr>
          <w:rFonts w:ascii="Times New Roman;serif" w:hAnsi="Times New Roman;serif"/>
          <w:b w:val="false"/>
          <w:color w:val="000000"/>
          <w:sz w:val="20"/>
          <w:shd w:fill="FFFFFF" w:val="clear"/>
        </w:rPr>
        <w:t xml:space="preserve">), each representing the non-transferable contractual right to receive certain contingent payments from the Company upon the occurrence of certain events within agreed time periods. Holders of options to purchase our common stock outstanding immediately prior to the effective time of the merger will also receive four CVRs for each share of our common stock that may be issued upon exercise of such option, such that they will receive the same number of CVRs as they would have received if the option had been exercised before the Reverse Stock Split, subject to certain conditions set forth in the CVR Agreement. </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Pursuant to the terms of the CVR Agreement, the holders of our common stock prior to the effective time of the Reverse Merger, including </w:t>
      </w:r>
      <w:r>
        <w:rPr>
          <w:rFonts w:ascii="Times New Roman;serif" w:hAnsi="Times New Roman;serif"/>
          <w:b w:val="false"/>
          <w:color w:val="000000"/>
          <w:sz w:val="20"/>
        </w:rPr>
        <w:t>holders</w:t>
      </w:r>
      <w:r>
        <w:rPr>
          <w:color w:val="000000"/>
          <w:shd w:fill="FFFFFF" w:val="clear"/>
        </w:rPr>
        <w:t xml:space="preserve"> </w:t>
      </w:r>
      <w:r>
        <w:rPr>
          <w:rFonts w:ascii="Times New Roman;serif" w:hAnsi="Times New Roman;serif"/>
          <w:b w:val="false"/>
          <w:color w:val="000000"/>
          <w:sz w:val="20"/>
          <w:shd w:fill="FFFFFF" w:val="clear"/>
        </w:rPr>
        <w:t>of existing pre-funded warrants and holders of options to purchase our common stock outstanding immediately prior to the effective time of the merger and exercised after the effective time of the merger, rather than all of our current holders of our common stock, are the primary recipients of any net proceeds of the disposition of the legacy assets related to the business of Neoleukin Therapeutics, Inc. as it existed prior to the effective time of the Reverse Merger, the mitigation of legacy lease obligations related the business of Neoleukin Therapeutics, Inc. as it existed prior to the effective time of the Reverse Merger or receipt of any sales tax refund from the State of Washington based on tax returns we filed prior to the effective time of the Reverse Merger. While we have entered into agreements for the disposition of certain legacy assets of Neoleukin, we are still pursuing a resolution of the legacy lease obligations of Neoleukin and expect that we will need to allocate resources, including payment of certain up-front costs, and time from employees and management to complete the resolution of such obligations and to administer the provisions of the CVR Agreement and distribution of any payments to holders of the CVRs.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Accordingly, we may be required to allocate a portion of our funds, time and resources to such activities and not our core programs and the foregoing could be a distraction to our management and employees. As a result, our operations and financial condition may be adversely affected.</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have incurred, and will continue to incur additional costs and increased demands upon management as a result of complying with the laws and regulations affecting public companies.</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We have incurred and will continue to incur significant legal, accounting and other expenses as a public company that may not be reflected </w:t>
      </w:r>
      <w:r>
        <w:rPr>
          <w:rFonts w:ascii="Times New Roman;serif" w:hAnsi="Times New Roman;serif"/>
          <w:b w:val="false"/>
          <w:color w:val="000000"/>
          <w:sz w:val="20"/>
        </w:rPr>
        <w:t>in</w:t>
      </w:r>
      <w:r>
        <w:rPr>
          <w:color w:val="000000"/>
          <w:shd w:fill="FFFFFF" w:val="clear"/>
        </w:rPr>
        <w:t xml:space="preserve"> </w:t>
      </w:r>
      <w:r>
        <w:rPr>
          <w:rFonts w:ascii="Times New Roman;serif" w:hAnsi="Times New Roman;serif"/>
          <w:b w:val="false"/>
          <w:color w:val="000000"/>
          <w:sz w:val="20"/>
          <w:shd w:fill="FFFFFF" w:val="clear"/>
        </w:rPr>
        <w:t>our historical financial statements, which reflect our operation as a private company. Some of these additional expenses include costs associated with public company reporting obligations under the Securities Exchange Act of 1934, as amended (the “Exchange Act”). Our management team needs to devote substantial time to complying with public company reporting requirements and compliance with applicable laws and regulations to ensure that we comply with all of these requirements. These reporting requirements, rules and regulations, coupled with the increase in potential litigation exposure associated with being a public company, may make it more difficult for us to attract and retain qualified persons to serve on the board of directors or on board committees or to serve as executive officers, or to obtain certain types of insurance, including directors’ and officers’ insurance, on acceptable terms.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We expect to still qualify as a “smaller reporting company,” as such term is defined in Rule 12b-2 under the Exchange Act, in at least the near term, which allows us to take advantage of many exemptions from </w:t>
      </w:r>
      <w:r>
        <w:rPr>
          <w:rFonts w:ascii="Times New Roman;serif" w:hAnsi="Times New Roman;serif"/>
          <w:b w:val="false"/>
          <w:color w:val="000000"/>
          <w:sz w:val="20"/>
        </w:rPr>
        <w:t>disclosure</w:t>
      </w:r>
      <w:r>
        <w:rPr>
          <w:color w:val="000000"/>
          <w:shd w:fill="FFFFFF" w:val="clear"/>
        </w:rPr>
        <w:t xml:space="preserve"> </w:t>
      </w:r>
      <w:r>
        <w:rPr>
          <w:rFonts w:ascii="Times New Roman;serif" w:hAnsi="Times New Roman;serif"/>
          <w:b w:val="false"/>
          <w:color w:val="000000"/>
          <w:sz w:val="20"/>
          <w:shd w:fill="FFFFFF" w:val="clear"/>
        </w:rPr>
        <w:t>requirements, including not being required to comply with the auditor attestation requirements of Section 404 of the Sarbanes-Oxley Act and reduced disclosure obligations regarding executive compensation in our periodic reports and proxy statements. Once we are no longer a smaller reporting company or otherwise no longer qualify for this exemption, we will be required to comply with these additional legal and regulatory requirements applicable to public companies and will incur significant additional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any of which would require additional financial and management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73685"/>
                <wp:effectExtent l="0" t="0" r="0" b="0"/>
                <wp:wrapNone/>
                <wp:docPr id="91" name="Frame9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we fail to maintain proper and effective internal controls, our ability to produce accurate financial statements on a timely basis could be impaired.</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We are subject to the reporting requirements of the Exchange Act, the Sarbanes-Oxley Act and the rules and regulations of Nasdaq. The Sarbanes-Oxley Act requires, among other things, that we maintain effective disclosure controls and procedures and internal control over financial reporting. We must perform system and process evaluation and testing of our internal control over financial reporting to allow management to report on the effectiveness of our internal control over financial reporting in each Annual Report on Form 10-K, as required by Section 404 of the Sarbanes-Oxley Act. Prior to the merger in December 2023, our operating and finance teams were part of a private company, and therefore were not previously required to test </w:t>
      </w:r>
      <w:r>
        <w:rPr>
          <w:rFonts w:ascii="Times New Roman;serif" w:hAnsi="Times New Roman;serif"/>
          <w:b w:val="false"/>
          <w:color w:val="000000"/>
          <w:sz w:val="20"/>
        </w:rPr>
        <w:t>internal</w:t>
      </w:r>
      <w:r>
        <w:rPr>
          <w:color w:val="000000"/>
          <w:shd w:fill="FFFFFF" w:val="clear"/>
        </w:rPr>
        <w:t xml:space="preserve"> </w:t>
      </w:r>
      <w:r>
        <w:rPr>
          <w:rFonts w:ascii="Times New Roman;serif" w:hAnsi="Times New Roman;serif"/>
          <w:b w:val="false"/>
          <w:color w:val="000000"/>
          <w:sz w:val="20"/>
          <w:shd w:fill="FFFFFF" w:val="clear"/>
        </w:rPr>
        <w:t>controls within a specified period. As a result, we have incurred and may continue to incur substantial professional fees and internal costs to expand our accounting and finance functions as well as to expend significant management efforts.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lineRule="auto" w:line="288" w:before="200" w:after="283"/>
        <w:ind w:left="0" w:right="0" w:firstLine="450"/>
        <w:jc w:val="both"/>
        <w:rPr/>
      </w:pPr>
      <w:r>
        <w:rPr>
          <w:rFonts w:ascii="Times New Roman;serif" w:hAnsi="Times New Roman;serif"/>
          <w:b w:val="false"/>
          <w:color w:val="000000"/>
          <w:sz w:val="20"/>
        </w:rPr>
        <w:t xml:space="preserve">As part of our ongoing monitoring of internal control from time to time we have discovered deficiencies in our internal controls that have required remediation. In the past, these deficiencies have included a "material weakness," defined as a deficiency or combination of deficiencies that results in more than a remote likelihood that a material misstatement of the annual or interim </w:t>
      </w:r>
      <w:r>
        <w:rPr>
          <w:rFonts w:ascii="Times New Roman;serif" w:hAnsi="Times New Roman;serif"/>
          <w:b w:val="false"/>
          <w:color w:val="000000"/>
          <w:sz w:val="20"/>
          <w:shd w:fill="FFFFFF" w:val="clear"/>
        </w:rPr>
        <w:t>financial</w:t>
      </w:r>
      <w:r>
        <w:rPr>
          <w:color w:val="000000"/>
        </w:rPr>
        <w:t xml:space="preserve"> </w:t>
      </w:r>
      <w:r>
        <w:rPr>
          <w:rFonts w:ascii="Times New Roman;serif" w:hAnsi="Times New Roman;serif"/>
          <w:b w:val="false"/>
          <w:color w:val="000000"/>
          <w:sz w:val="20"/>
        </w:rPr>
        <w:t>statements will not be prevented or detected. While management has determined in its assessment of our internal controls over financial reporting as of December 31, 2025 that we have no material weaknesses or significant deficiencies, there can be no assurance that we will not identify a significant deficiency or material weakness in the future, which could adversely affect the accuracy and timing of our financial reporting and our ability to maintain compliance with securities law requirements and applicable exchange listing requirements, which could negatively impact our stock price and give rise to potential investigations by Nasdaq, the SEC and other regulatory authorities.</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If we are not able to comply with the requirements of Section 404 of the Sarbanes-Oxley Act, or if we are unable to maintain proper and </w:t>
      </w:r>
      <w:r>
        <w:rPr>
          <w:rFonts w:ascii="Times New Roman;serif" w:hAnsi="Times New Roman;serif"/>
          <w:b w:val="false"/>
          <w:color w:val="000000"/>
          <w:sz w:val="20"/>
        </w:rPr>
        <w:t>effective</w:t>
      </w:r>
      <w:r>
        <w:rPr>
          <w:color w:val="000000"/>
          <w:shd w:fill="FFFFFF" w:val="clear"/>
        </w:rPr>
        <w:t xml:space="preserve"> </w:t>
      </w:r>
      <w:r>
        <w:rPr>
          <w:rFonts w:ascii="Times New Roman;serif" w:hAnsi="Times New Roman;serif"/>
          <w:b w:val="false"/>
          <w:color w:val="000000"/>
          <w:sz w:val="20"/>
          <w:shd w:fill="FFFFFF" w:val="clear"/>
        </w:rPr>
        <w:t>internal controls, we may not be able to produce timely and accurate financial statements. If that were to happen, the market price of our common stock could decline and we could be subject to sanctions or investigations by Nasdaq, the SEC or other regulatory authorities.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certificate of incorporation and bylaws, as well as provisions under Delaware law, could make an acquisition of the company more difficult and may prevent attempts by our stockholders to replace or remove management.</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will be responsible for appointing the members of our management team, these </w:t>
      </w:r>
      <w:r>
        <w:rPr>
          <w:rFonts w:ascii="Times New Roman;serif" w:hAnsi="Times New Roman;serif"/>
          <w:b w:val="false"/>
          <w:color w:val="000000"/>
          <w:sz w:val="20"/>
        </w:rPr>
        <w:t>provisions</w:t>
      </w:r>
      <w:r>
        <w:rPr>
          <w:color w:val="000000"/>
          <w:shd w:fill="FFFFFF" w:val="clear"/>
        </w:rPr>
        <w:t xml:space="preserve"> </w:t>
      </w:r>
      <w:r>
        <w:rPr>
          <w:rFonts w:ascii="Times New Roman;serif" w:hAnsi="Times New Roman;serif"/>
          <w:b w:val="false"/>
          <w:color w:val="000000"/>
          <w:sz w:val="20"/>
          <w:shd w:fill="FFFFFF" w:val="clear"/>
        </w:rPr>
        <w:t>may frustrate or prevent any attempts by our stockholders to replace or remove current management by making it more difficult for stockholders to replace members of our board of directors. Among other things, these provisions: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establish a classified board of directors such that all members of the board are not elected at one time;</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allow the authorized number of our directors to be changed only by resolution of our board of directors;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limit the manner in which stockholders can remove directors from the board;</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establish advance notice requirements for nominations for election to the board of directors or for proposing matters that can be acted on at stockholder meetings;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require that stockholder actions must be effected at a duly called stockholder meeting and prohibit actions by our stockholders by written consent;</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limit who may call a special meeting of stockholders;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73685"/>
                <wp:effectExtent l="0" t="0" r="0" b="0"/>
                <wp:wrapNone/>
                <wp:docPr id="92" name="Frame9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require the approval of the holders of at least 66 2/3% of the votes that all stockholders would be entitled to cast to amend or repeal certain provisions of our charter or bylaws.</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Moreover, because we are incorporated in Delaware, we are governed by the provisions of Section 203 of the Delaware General </w:t>
      </w:r>
      <w:r>
        <w:rPr>
          <w:rFonts w:ascii="Times New Roman;serif" w:hAnsi="Times New Roman;serif"/>
          <w:b w:val="false"/>
          <w:color w:val="000000"/>
          <w:sz w:val="20"/>
        </w:rPr>
        <w:t>Corporation</w:t>
      </w:r>
      <w:r>
        <w:rPr>
          <w:color w:val="000000"/>
          <w:shd w:fill="FFFFFF" w:val="clear"/>
        </w:rPr>
        <w:t xml:space="preserve"> </w:t>
      </w:r>
      <w:r>
        <w:rPr>
          <w:rFonts w:ascii="Times New Roman;serif" w:hAnsi="Times New Roman;serif"/>
          <w:b w:val="false"/>
          <w:color w:val="000000"/>
          <w:sz w:val="20"/>
          <w:shd w:fill="FFFFFF" w:val="clear"/>
        </w:rPr>
        <w:t>Law (“DGCL”), which prohibits stockholders owning in excess of 15% of our outstanding voting stock from merging or combining with us. Although we believe these provisions collectively will provide for an opportunity to receive higher bids by requiring potential acquirers to negotiate with our board of directors, they would apply even if the offer may be considered beneficial by some stockholders.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governing documents provide that, unless we consent in writing to the selection of an alternative forum, certain designated courts will be the sole and exclusive forum for certain legal actions between us and our stockholders, which could limit our stockholders’ ability to obtain a favorable judicial forum for disputes with us or our directors, officers, employees or agents.</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Our governing documents provide that, unless we consent in writing to an alternative forum, the Court of Chancery of the State of Delaware is the sole and exclusive forum for state law claims for (i) any derivative action or proceeding brought on the company’s behalf, (ii) any action asserting a claim of or based on a breach of a fiduciary duty owed by any of our current or former directors, officers, or other employees to the company or our stockholders, (iii) any action asserting a claim arising </w:t>
      </w:r>
      <w:r>
        <w:rPr>
          <w:rFonts w:ascii="Times New Roman;serif" w:hAnsi="Times New Roman;serif"/>
          <w:b w:val="false"/>
          <w:color w:val="000000"/>
          <w:sz w:val="20"/>
        </w:rPr>
        <w:t>pursuant</w:t>
      </w:r>
      <w:r>
        <w:rPr>
          <w:color w:val="000000"/>
          <w:shd w:fill="FFFFFF" w:val="clear"/>
        </w:rPr>
        <w:t xml:space="preserve"> </w:t>
      </w:r>
      <w:r>
        <w:rPr>
          <w:rFonts w:ascii="Times New Roman;serif" w:hAnsi="Times New Roman;serif"/>
          <w:b w:val="false"/>
          <w:color w:val="000000"/>
          <w:sz w:val="20"/>
          <w:shd w:fill="FFFFFF" w:val="clear"/>
        </w:rPr>
        <w:t>to any provision of the DGCL, the certificate of incorporation or the bylaws, (iv) any action to interpret, apply, enforce or determine the validity of the certificate of incorporation or bylaws, or (v) any action asserting a claim that is governed by the internal affairs doctrine, in each case subject to the Court of Chancery having personal jurisdiction over the indispensable parties named as defendants therein, which for purposes of this risk factor refers to herein as the “Delaware Forum Provision.” Our governing documents further provide that, unless we consent in writing to an alternative forum, the federal district courts of the United States will be the exclusive forum for resolving any complaint asserting a cause of action arising under the Securities Act of 1933, as amended (the “Securities Act”), which for purposes of this risk factor refers to herein as the “Federal Forum Provision.” Neither the Delaware Forum Provision nor the Federal Forum Provision will apply to any causes of action arising under the Exchange Act. In addition, any person or entity purchasing or otherwise acquiring any interest in shares of our capital stock will be deemed to have notice of and consented to the foregoing Delaware Forum Provision and Federal Forum Provision;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 however, that stockholders cannot and will not be deemed to have waived our compliance with the U.S. federal securities laws and the rules and regulations thereunder.</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The Delaware Forum Provision and the Federal Forum Provision may impose additional litigation costs on our stockholders in pursuing any such claims, particularly if such stockholders do not reside in or near the State of Delaware. Additionally, these forum </w:t>
      </w:r>
      <w:r>
        <w:rPr>
          <w:rFonts w:ascii="Times New Roman;serif" w:hAnsi="Times New Roman;serif"/>
          <w:b w:val="false"/>
          <w:color w:val="000000"/>
          <w:sz w:val="20"/>
        </w:rPr>
        <w:t>selection</w:t>
      </w:r>
      <w:r>
        <w:rPr>
          <w:color w:val="000000"/>
          <w:shd w:fill="FFFFFF" w:val="clear"/>
        </w:rPr>
        <w:t xml:space="preserve"> </w:t>
      </w:r>
      <w:r>
        <w:rPr>
          <w:rFonts w:ascii="Times New Roman;serif" w:hAnsi="Times New Roman;serif"/>
          <w:b w:val="false"/>
          <w:color w:val="000000"/>
          <w:sz w:val="20"/>
          <w:shd w:fill="FFFFFF" w:val="clear"/>
        </w:rPr>
        <w:t>clauses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Future sales of a substantial number of shares of our stock could cause our stock price to decline.</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If our existing stockholders sell, or indicate an intention to sell, substantial amounts of our common stock in the public market, the trading price of our common stock could decline. Based on shares outstanding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there are approximately </w:t>
      </w:r>
      <w:r>
        <w:rPr>
          <w:rFonts w:ascii="Times New Roman;serif" w:hAnsi="Times New Roman;serif"/>
          <w:b w:val="false"/>
          <w:color w:val="000000"/>
          <w:sz w:val="20"/>
        </w:rPr>
        <w:t>22,623,063</w:t>
      </w:r>
      <w:r>
        <w:rPr>
          <w:color w:val="000000"/>
          <w:shd w:fill="FFFFFF" w:val="clear"/>
        </w:rPr>
        <w:t xml:space="preserve"> </w:t>
      </w:r>
      <w:r>
        <w:rPr>
          <w:rFonts w:ascii="Times New Roman;serif" w:hAnsi="Times New Roman;serif"/>
          <w:b w:val="false"/>
          <w:color w:val="000000"/>
          <w:sz w:val="20"/>
          <w:shd w:fill="FFFFFF" w:val="clear"/>
        </w:rPr>
        <w:t xml:space="preserve">shares of our common stock outstanding or issuable on exercise of pre-funded warrants to purchase common stock. After </w:t>
      </w:r>
      <w:r>
        <w:rPr>
          <w:rFonts w:ascii="Times New Roman;serif" w:hAnsi="Times New Roman;serif"/>
          <w:b w:val="false"/>
          <w:color w:val="000000"/>
          <w:sz w:val="20"/>
        </w:rPr>
        <w:t>giving effect to the July 2026 Offering, that number increased to approximately 27,414,728</w:t>
      </w:r>
      <w:r>
        <w:rPr>
          <w:rFonts w:ascii="Times New Roman;serif" w:hAnsi="Times New Roman;serif"/>
          <w:b w:val="false"/>
          <w:color w:val="000000"/>
          <w:sz w:val="20"/>
          <w:shd w:fill="FFFFFF" w:val="clear"/>
        </w:rPr>
        <w:t xml:space="preserve">. All outstanding shares of common stock and any shares issuable on exercise of pre-funded warrants or </w:t>
      </w:r>
      <w:r>
        <w:rPr>
          <w:rFonts w:ascii="Times New Roman;serif" w:hAnsi="Times New Roman;serif"/>
          <w:b w:val="false"/>
          <w:color w:val="000000"/>
          <w:sz w:val="20"/>
        </w:rPr>
        <w:t>vested</w:t>
      </w:r>
      <w:r>
        <w:rPr>
          <w:color w:val="000000"/>
          <w:shd w:fill="FFFFFF" w:val="clear"/>
        </w:rPr>
        <w:t xml:space="preserve"> </w:t>
      </w:r>
      <w:r>
        <w:rPr>
          <w:rFonts w:ascii="Times New Roman;serif" w:hAnsi="Times New Roman;serif"/>
          <w:b w:val="false"/>
          <w:color w:val="000000"/>
          <w:sz w:val="20"/>
          <w:shd w:fill="FFFFFF" w:val="clear"/>
        </w:rPr>
        <w:t>options to purchase our common stock, other than shares held by our affiliates or otherwise subject to restrictions on vesting and exercise, are freely tradable, without restriction, in the public market. If a significant number of these shares are sold, the trading price of our common stock could decline.</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We have also filed a shelf registration statement covering the sale of up to $300.0 million of any combination of our common stock, preferred stock, debt securities, warrants or units, and may conduct one or more sales of securities pursuant to such registration </w:t>
      </w:r>
      <w:r>
        <w:rPr>
          <w:rFonts w:ascii="Times New Roman;serif" w:hAnsi="Times New Roman;serif"/>
          <w:b w:val="false"/>
          <w:color w:val="000000"/>
          <w:sz w:val="20"/>
        </w:rPr>
        <w:t>statement</w:t>
      </w:r>
      <w:r>
        <w:rPr>
          <w:color w:val="000000"/>
          <w:shd w:fill="FFFFFF" w:val="clear"/>
        </w:rPr>
        <w:t xml:space="preserve"> </w:t>
      </w:r>
      <w:r>
        <w:rPr>
          <w:rFonts w:ascii="Times New Roman;serif" w:hAnsi="Times New Roman;serif"/>
          <w:b w:val="false"/>
          <w:color w:val="000000"/>
          <w:sz w:val="20"/>
          <w:shd w:fill="FFFFFF" w:val="clear"/>
        </w:rPr>
        <w:t xml:space="preserve">from time to time. On July 2, 2026, we closed the July 2026 Offering pursuant to which we sold 4,124,999 shares of our common stock and prefunded warrants to purchase an additional 666,666 shares of our common stock. In August 2025, we entered into the Sales Agreement with Leerink, pursuant to which we have sold $37.1 million in shares of our common stock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in “at the market” offerings. We may from time to time offer and sell through Leerink up to an additional $112.9 million of the common stock registered under the shelf registration statement pursuant to one or more additional “at the market” offerings. Sales of our common stock under the Sales Agreement with Leerink could be subject to business, economic or competitive uncertainties and contingencies,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73685"/>
                <wp:effectExtent l="0" t="0" r="0" b="0"/>
                <wp:wrapNone/>
                <wp:docPr id="93" name="Frame9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many of which may be beyond our control, and which could cause actual results from the sale of our common stock to differ materially from expectations.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executive officers, directors and principal stockholders have the ability to control or significantly influence all matters submitted to our stockholders for approval.</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Our executive officers, directors and principal stockholders beneficially own a significant percentage of our outstanding common stock. As a result, if these stockholders were to choose to act together, they would be able to control or significantly influence all </w:t>
      </w:r>
      <w:r>
        <w:rPr>
          <w:rFonts w:ascii="Times New Roman;serif" w:hAnsi="Times New Roman;serif"/>
          <w:b w:val="false"/>
          <w:color w:val="000000"/>
          <w:sz w:val="20"/>
        </w:rPr>
        <w:t>matters</w:t>
      </w:r>
      <w:r>
        <w:rPr>
          <w:color w:val="000000"/>
          <w:shd w:fill="FFFFFF" w:val="clear"/>
        </w:rPr>
        <w:t xml:space="preserve"> </w:t>
      </w:r>
      <w:r>
        <w:rPr>
          <w:rFonts w:ascii="Times New Roman;serif" w:hAnsi="Times New Roman;serif"/>
          <w:b w:val="false"/>
          <w:color w:val="000000"/>
          <w:sz w:val="20"/>
          <w:shd w:fill="FFFFFF" w:val="clear"/>
        </w:rPr>
        <w:t>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our acquisition on terms that other stockholders may desire.</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be exposed to increased litigation, including stockholder litigation, which could have an adverse effect on our business and operations.</w:t>
      </w:r>
    </w:p>
    <w:p>
      <w:pPr>
        <w:pStyle w:val="TextBody"/>
        <w:bidi w:val="0"/>
        <w:spacing w:lineRule="auto" w:line="288" w:before="20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be exposed to increased litigation from stockholders, suppliers and other third parties, which may have an adverse impact on our business and results of operations or may cause disruptions to our operations. In the past, stockholders have initiated class action lawsuits against biotechnology companies following periods of volatility in the market prices of these companies’ stock or immaterial changes to trial protocols. Such litigation, if instituted against us, could cause us to incur substantial costs and divert management’s attention and resources, which could have a material adverse effect on our business, financial condition and results of operations.</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equity research analysts do not publish research or reports, or publish unfavorable research or reports, about us, our business or our market, our stock price and trading volume could decline.</w:t>
      </w:r>
    </w:p>
    <w:p>
      <w:pPr>
        <w:pStyle w:val="TextBody"/>
        <w:bidi w:val="0"/>
        <w:spacing w:lineRule="auto" w:line="288" w:before="200" w:after="283"/>
        <w:ind w:left="0" w:right="0" w:firstLine="450"/>
        <w:jc w:val="both"/>
        <w:rPr/>
      </w:pPr>
      <w:r>
        <w:rPr>
          <w:rFonts w:ascii="Times New Roman;serif" w:hAnsi="Times New Roman;serif"/>
          <w:b w:val="false"/>
          <w:color w:val="000000"/>
          <w:sz w:val="20"/>
          <w:shd w:fill="FFFFFF" w:val="clear"/>
        </w:rPr>
        <w:t xml:space="preserve">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If we do have equity research analyst coverage, we will not have any control over the analysts or the content and opinions included in their reports. The price of our common stock could decline if one or more equity research analysts downgrade our stock or issue other unfavorable </w:t>
      </w:r>
      <w:r>
        <w:rPr>
          <w:rFonts w:ascii="Times New Roman;serif" w:hAnsi="Times New Roman;serif"/>
          <w:b w:val="false"/>
          <w:color w:val="000000"/>
          <w:sz w:val="20"/>
        </w:rPr>
        <w:t>commentary</w:t>
      </w:r>
      <w:r>
        <w:rPr>
          <w:color w:val="000000"/>
          <w:shd w:fill="FFFFFF" w:val="clear"/>
        </w:rPr>
        <w:t xml:space="preserve"> </w:t>
      </w:r>
      <w:r>
        <w:rPr>
          <w:rFonts w:ascii="Times New Roman;serif" w:hAnsi="Times New Roman;serif"/>
          <w:b w:val="false"/>
          <w:color w:val="000000"/>
          <w:sz w:val="20"/>
          <w:shd w:fill="FFFFFF" w:val="clear"/>
        </w:rPr>
        <w:t>or research. If one or more equity research analysts ceases coverage of us or fails to publish reports on us regularly, demand for our common stock could decrease, which in turn could cause our stock price or trading volume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 Trading Plans</w:t>
      </w:r>
    </w:p>
    <w:p>
      <w:pPr>
        <w:pStyle w:val="TextBody"/>
        <w:bidi w:val="0"/>
        <w:spacing w:lineRule="auto" w:line="288" w:before="12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no director or Section 16 officer adopted, modified or terminated any Rule 10b5-1 trading arrangement or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73685"/>
                <wp:effectExtent l="0" t="0" r="0" b="0"/>
                <wp:wrapNone/>
                <wp:docPr id="94" name="Frame9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333" w:before="0" w:after="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3"/>
        <w:gridCol w:w="259"/>
        <w:gridCol w:w="260"/>
        <w:gridCol w:w="109"/>
        <w:gridCol w:w="109"/>
        <w:gridCol w:w="109"/>
        <w:gridCol w:w="2656"/>
        <w:gridCol w:w="2640"/>
        <w:gridCol w:w="3770"/>
      </w:tblGrid>
      <w:tr>
        <w:trPr/>
        <w:tc>
          <w:tcPr>
            <w:tcW w:w="29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tuartcobbconsultingamendm.htm">
              <w:r>
                <w:rPr>
                  <w:rStyle w:val="InternetLink"/>
                  <w:rFonts w:ascii="Times New Roman;serif" w:hAnsi="Times New Roman;serif"/>
                  <w:b w:val="false"/>
                  <w:color w:val="000080"/>
                  <w:sz w:val="20"/>
                  <w:u w:val="single"/>
                </w:rPr>
                <w:t>F</w:t>
              </w:r>
            </w:hyperlink>
            <w:hyperlink w:anchor="stuartcobbconsultingamendm.htm">
              <w:r>
                <w:rPr>
                  <w:rStyle w:val="InternetLink"/>
                  <w:rFonts w:ascii="Times New Roman;serif" w:hAnsi="Times New Roman;serif"/>
                  <w:b w:val="false"/>
                  <w:color w:val="000080"/>
                  <w:sz w:val="20"/>
                  <w:u w:val="single"/>
                </w:rPr>
                <w:t>irst Amendment to the Amend</w:t>
              </w:r>
            </w:hyperlink>
            <w:hyperlink w:anchor="stuartcobbconsultingamendm.htm">
              <w:r>
                <w:rPr>
                  <w:rStyle w:val="InternetLink"/>
                  <w:rFonts w:ascii="Times New Roman;serif" w:hAnsi="Times New Roman;serif"/>
                  <w:b w:val="false"/>
                  <w:color w:val="000080"/>
                  <w:sz w:val="20"/>
                  <w:u w:val="single"/>
                </w:rPr>
                <w:t xml:space="preserve">ed and </w:t>
              </w:r>
            </w:hyperlink>
            <w:hyperlink w:anchor="stuartcobbconsultingamendm.htm">
              <w:r>
                <w:rPr>
                  <w:rStyle w:val="InternetLink"/>
                  <w:rFonts w:ascii="Times New Roman;serif" w:hAnsi="Times New Roman;serif"/>
                  <w:b w:val="false"/>
                  <w:color w:val="000080"/>
                  <w:sz w:val="20"/>
                  <w:u w:val="single"/>
                </w:rPr>
                <w:t>Restated Consu</w:t>
              </w:r>
            </w:hyperlink>
            <w:hyperlink w:anchor="stuartcobbconsultingamendm.htm">
              <w:r>
                <w:rPr>
                  <w:rStyle w:val="InternetLink"/>
                  <w:rFonts w:ascii="Times New Roman;serif" w:hAnsi="Times New Roman;serif"/>
                  <w:b w:val="false"/>
                  <w:color w:val="000080"/>
                  <w:sz w:val="20"/>
                  <w:u w:val="single"/>
                </w:rPr>
                <w:t>lt</w:t>
              </w:r>
            </w:hyperlink>
            <w:hyperlink w:anchor="stuartcobbconsultingamendm.htm">
              <w:r>
                <w:rPr>
                  <w:rStyle w:val="InternetLink"/>
                  <w:rFonts w:ascii="Times New Roman;serif" w:hAnsi="Times New Roman;serif"/>
                  <w:b w:val="false"/>
                  <w:color w:val="000080"/>
                  <w:sz w:val="20"/>
                  <w:u w:val="single"/>
                </w:rPr>
                <w:t>ing Agreement betwee</w:t>
              </w:r>
            </w:hyperlink>
            <w:hyperlink w:anchor="stuartcobbconsultingamendm.htm">
              <w:r>
                <w:rPr>
                  <w:rStyle w:val="InternetLink"/>
                  <w:rFonts w:ascii="Times New Roman;serif" w:hAnsi="Times New Roman;serif"/>
                  <w:b w:val="false"/>
                  <w:color w:val="000080"/>
                  <w:sz w:val="20"/>
                  <w:u w:val="single"/>
                </w:rPr>
                <w:t>n Neurogene Inc. and Stuar</w:t>
              </w:r>
            </w:hyperlink>
            <w:hyperlink w:anchor="stuartcobbconsultingamendm.htm">
              <w:r>
                <w:rPr>
                  <w:rStyle w:val="InternetLink"/>
                  <w:rFonts w:ascii="Times New Roman;serif" w:hAnsi="Times New Roman;serif"/>
                  <w:b w:val="false"/>
                  <w:color w:val="000080"/>
                  <w:sz w:val="20"/>
                  <w:u w:val="single"/>
                </w:rPr>
                <w:t>t Cobb Con</w:t>
              </w:r>
            </w:hyperlink>
            <w:hyperlink w:anchor="stuartcobbconsultingamendm.htm">
              <w:r>
                <w:rPr>
                  <w:rStyle w:val="InternetLink"/>
                  <w:rFonts w:ascii="Times New Roman;serif" w:hAnsi="Times New Roman;serif"/>
                  <w:b w:val="false"/>
                  <w:color w:val="000080"/>
                  <w:sz w:val="20"/>
                  <w:u w:val="single"/>
                </w:rPr>
                <w:t xml:space="preserve">sulting Ltd. </w:t>
              </w:r>
            </w:hyperlink>
            <w:hyperlink w:anchor="stuartcobbconsultingamendm.htm">
              <w:r>
                <w:rPr>
                  <w:rStyle w:val="InternetLink"/>
                  <w:rFonts w:ascii="Times New Roman;serif" w:hAnsi="Times New Roman;serif"/>
                  <w:b w:val="false"/>
                  <w:color w:val="000080"/>
                  <w:sz w:val="20"/>
                  <w:u w:val="single"/>
                </w:rPr>
                <w:t>dated April 19, 2024</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gne-2026formq210xqxex311p.htm">
              <w:r>
                <w:rPr>
                  <w:rStyle w:val="InternetLink"/>
                  <w:rFonts w:ascii="Times New Roman;serif" w:hAnsi="Times New Roman;serif"/>
                  <w:b w:val="false"/>
                  <w:color w:val="000000"/>
                  <w:sz w:val="20"/>
                  <w:u w:val="single"/>
                </w:rPr>
                <w:t>Certification of the Chief Executive Officer (Principal Executive Officer) pursuant to Rule 13a-14(a)</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gne-2026formq210xqxex312p.htm">
              <w:r>
                <w:rPr>
                  <w:rStyle w:val="InternetLink"/>
                  <w:rFonts w:ascii="Times New Roman;serif" w:hAnsi="Times New Roman;serif"/>
                  <w:b w:val="false"/>
                  <w:color w:val="000000"/>
                  <w:sz w:val="20"/>
                  <w:u w:val="single"/>
                </w:rPr>
                <w:t>Certification of the Chief Financial Officer (Principal Financial Officer) pursuant to Rule 13a-14(a)</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gne-2026formq210xqxex321.htm">
              <w:r>
                <w:rPr>
                  <w:rStyle w:val="InternetLink"/>
                  <w:rFonts w:ascii="Times New Roman;serif" w:hAnsi="Times New Roman;serif"/>
                  <w:b w:val="false"/>
                  <w:color w:val="000000"/>
                  <w:sz w:val="20"/>
                  <w:u w:val="single"/>
                </w:rPr>
                <w:t>Certification of Chief Executive Officer (Principal Executive Officer) and Chief Financial Officer (Principal Financial Officer) pursuant to 18 U.S.C. Section 1350</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8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r>
      <w:tr>
        <w:trPr/>
        <w:tc>
          <w:tcPr>
            <w:tcW w:w="8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pStyle w:val="TextBody"/>
        <w:bidi w:val="0"/>
        <w:spacing w:before="20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333" w:before="480" w:after="283"/>
        <w:ind w:left="0" w:right="0" w:firstLine="360"/>
        <w:jc w:val="left"/>
        <w:rPr/>
      </w:pPr>
      <w:hyperlink w:anchor="i74ab1298cd374251b0beacad3f4aae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3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942" w:type="dxa"/>
        <w:jc w:val="center"/>
        <w:tblInd w:w="0" w:type="dxa"/>
        <w:tblLayout w:type="fixed"/>
        <w:tblCellMar>
          <w:top w:w="28" w:type="dxa"/>
          <w:left w:w="28" w:type="dxa"/>
          <w:bottom w:w="28" w:type="dxa"/>
          <w:right w:w="28" w:type="dxa"/>
        </w:tblCellMar>
      </w:tblPr>
      <w:tblGrid>
        <w:gridCol w:w="361"/>
        <w:gridCol w:w="317"/>
        <w:gridCol w:w="317"/>
        <w:gridCol w:w="317"/>
        <w:gridCol w:w="317"/>
        <w:gridCol w:w="317"/>
        <w:gridCol w:w="1046"/>
        <w:gridCol w:w="1046"/>
        <w:gridCol w:w="1052"/>
        <w:gridCol w:w="443"/>
        <w:gridCol w:w="443"/>
        <w:gridCol w:w="443"/>
        <w:gridCol w:w="443"/>
        <w:gridCol w:w="443"/>
        <w:gridCol w:w="637"/>
      </w:tblGrid>
      <w:tr>
        <w:trPr/>
        <w:tc>
          <w:tcPr>
            <w:tcW w:w="3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r>
      <w:tr>
        <w:trPr/>
        <w:tc>
          <w:tcPr>
            <w:tcW w:w="194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599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Neurogene Inc.</w:t>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Rachel McMinn </w:t>
            </w:r>
          </w:p>
        </w:tc>
      </w:tr>
      <w:tr>
        <w:trPr/>
        <w:tc>
          <w:tcPr>
            <w:tcW w:w="19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Name: </w:t>
            </w:r>
            <w:r>
              <w:rPr>
                <w:rFonts w:ascii="Times New Roman;serif" w:hAnsi="Times New Roman;serif"/>
                <w:b w:val="false"/>
                <w:color w:val="000000"/>
                <w:sz w:val="20"/>
                <w:u w:val="single"/>
              </w:rPr>
              <w:t xml:space="preserve">Rachel McMinn, Ph.D. </w:t>
            </w:r>
          </w:p>
        </w:tc>
      </w:tr>
      <w:tr>
        <w:trPr/>
        <w:tc>
          <w:tcPr>
            <w:tcW w:w="19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Title: </w:t>
            </w:r>
            <w:r>
              <w:rPr>
                <w:rFonts w:ascii="Times New Roman;serif" w:hAnsi="Times New Roman;serif"/>
                <w:b w:val="false"/>
                <w:color w:val="000000"/>
                <w:sz w:val="20"/>
                <w:u w:val="single"/>
              </w:rPr>
              <w:t xml:space="preserve">Chief Executive Officer (Principal Executive Officer) </w:t>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599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Neurogene Inc.</w:t>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Christine Mikail </w:t>
            </w:r>
          </w:p>
        </w:tc>
      </w:tr>
      <w:tr>
        <w:trPr/>
        <w:tc>
          <w:tcPr>
            <w:tcW w:w="19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Name: </w:t>
            </w:r>
            <w:r>
              <w:rPr>
                <w:rFonts w:ascii="Times New Roman;serif" w:hAnsi="Times New Roman;serif"/>
                <w:b w:val="false"/>
                <w:color w:val="000000"/>
                <w:sz w:val="20"/>
                <w:u w:val="single"/>
              </w:rPr>
              <w:t xml:space="preserve">Christine Mikail, J.D. </w:t>
            </w:r>
          </w:p>
        </w:tc>
      </w:tr>
      <w:tr>
        <w:trPr/>
        <w:tc>
          <w:tcPr>
            <w:tcW w:w="19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Title: </w:t>
            </w:r>
            <w:r>
              <w:rPr>
                <w:rFonts w:ascii="Times New Roman;serif" w:hAnsi="Times New Roman;serif"/>
                <w:b w:val="false"/>
                <w:color w:val="000000"/>
                <w:sz w:val="20"/>
                <w:u w:val="single"/>
              </w:rPr>
              <w:t xml:space="preserve">President and Chief Financial Officer (Principal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73685"/>
                <wp:effectExtent l="0" t="0" r="0" b="0"/>
                <wp:wrapNone/>
                <wp:docPr id="96" name="Frame9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333" w:before="0" w:after="0"/>
        <w:jc w:val="right"/>
        <w:rPr/>
      </w:pPr>
      <w:r>
        <w:rPr>
          <w:rFonts w:ascii="Times New Roman;serif" w:hAnsi="Times New Roman;serif"/>
          <w:b/>
          <w:color w:val="000000"/>
          <w:sz w:val="20"/>
        </w:rPr>
        <w:t>Exhibit 10.1</w:t>
      </w: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FIRST AMENDMENT TO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AMENDED AND RESTATED CONSULTING AGREEMENT</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This First Amendment (the “</w:t>
      </w:r>
      <w:r>
        <w:rPr>
          <w:rFonts w:ascii="Times New Roman;serif" w:hAnsi="Times New Roman;serif"/>
          <w:b/>
          <w:i/>
          <w:color w:val="000000"/>
          <w:sz w:val="24"/>
        </w:rPr>
        <w:t>Amendment</w:t>
      </w:r>
      <w:r>
        <w:rPr>
          <w:color w:val="000000"/>
        </w:rPr>
        <w:t>”</w:t>
      </w:r>
      <w:r>
        <w:rPr>
          <w:rFonts w:ascii="Times New Roman;serif" w:hAnsi="Times New Roman;serif"/>
          <w:b w:val="false"/>
          <w:color w:val="000000"/>
          <w:sz w:val="24"/>
        </w:rPr>
        <w:t>) to the Amended and Restated Consulting Agreement dated the 19th of April, 2024 (the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is entered and made effective as of April 17</w:t>
      </w:r>
      <w:r>
        <w:rPr>
          <w:rFonts w:ascii="Times New Roman;serif" w:hAnsi="Times New Roman;serif"/>
          <w:b w:val="false"/>
          <w:color w:val="000000"/>
          <w:sz w:val="16"/>
        </w:rPr>
        <w:t>th</w:t>
      </w:r>
      <w:r>
        <w:rPr>
          <w:rFonts w:ascii="Times New Roman;serif" w:hAnsi="Times New Roman;serif"/>
          <w:b w:val="false"/>
          <w:color w:val="000000"/>
          <w:sz w:val="24"/>
        </w:rPr>
        <w:t>, 2026 (the “</w:t>
      </w:r>
      <w:r>
        <w:rPr>
          <w:rFonts w:ascii="Times New Roman;serif" w:hAnsi="Times New Roman;serif"/>
          <w:b/>
          <w:i/>
          <w:color w:val="000000"/>
          <w:sz w:val="24"/>
        </w:rPr>
        <w:t>Amendment Effective Date</w:t>
      </w:r>
      <w:r>
        <w:rPr>
          <w:color w:val="000000"/>
        </w:rPr>
        <w:t>”</w:t>
      </w:r>
      <w:r>
        <w:rPr>
          <w:rFonts w:ascii="Times New Roman;serif" w:hAnsi="Times New Roman;serif"/>
          <w:b w:val="false"/>
          <w:color w:val="000000"/>
          <w:sz w:val="24"/>
        </w:rPr>
        <w:t>), by and between Neurogene Inc., a Delaware corporation having a place of business at 535 West 24</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Street, 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 New York, NY 10011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and Stuart Cobb Consulting Ltd., a limited company registered at Office 8, Hardengreen Park, Eskbank, Midlothian, Scotland EH22 3NX (“</w:t>
      </w:r>
      <w:r>
        <w:rPr>
          <w:rFonts w:ascii="Times New Roman;serif" w:hAnsi="Times New Roman;serif"/>
          <w:b/>
          <w:i/>
          <w:color w:val="000000"/>
          <w:sz w:val="24"/>
        </w:rPr>
        <w:t>Consultant</w:t>
      </w:r>
      <w:r>
        <w:rPr>
          <w:color w:val="000000"/>
        </w:rPr>
        <w:t>”</w:t>
      </w:r>
      <w:r>
        <w:rPr>
          <w:rFonts w:ascii="Times New Roman;serif" w:hAnsi="Times New Roman;serif"/>
          <w:b w:val="false"/>
          <w:color w:val="000000"/>
          <w:sz w:val="24"/>
        </w:rPr>
        <w:t>). Capitalized terms used herein but not defined herein will have the meanings ascribed to such terms in the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parties hereto previously entered into the Agreement for the engagement of the Consultant to provide the services described therein, including causing Stuart Cobb (“</w:t>
      </w:r>
      <w:r>
        <w:rPr>
          <w:rFonts w:ascii="Times New Roman;serif" w:hAnsi="Times New Roman;serif"/>
          <w:b/>
          <w:i/>
          <w:color w:val="000000"/>
          <w:sz w:val="24"/>
        </w:rPr>
        <w:t>Cobb</w:t>
      </w:r>
      <w:r>
        <w:rPr>
          <w:color w:val="000000"/>
        </w:rPr>
        <w:t>”</w:t>
      </w:r>
      <w:r>
        <w:rPr>
          <w:rFonts w:ascii="Times New Roman;serif" w:hAnsi="Times New Roman;serif"/>
          <w:b w:val="false"/>
          <w:color w:val="000000"/>
          <w:sz w:val="24"/>
        </w:rPr>
        <w:t>) to provide such services for a term of two (2) years from the date of the Agreement; and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Company desires to have the Consultant’s engagement continue in such capacity, and the Consultant desires to continue to serve in such capacity, pursuant to the terms and conditions set forth in the Agreement as further amended by this Amendment;</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covenants and agreements contained herein and other valuable consideration, the receipt and sufficiency of which are hereby acknowledged by the parties hereto, the parties agree as follows: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1.The following terms of the Agreement are hereby amended.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pPr>
      <w:r>
        <w:rPr>
          <w:rFonts w:ascii="Times New Roman;serif" w:hAnsi="Times New Roman;serif"/>
          <w:b w:val="false"/>
          <w:color w:val="000000"/>
          <w:sz w:val="24"/>
        </w:rPr>
        <w:t xml:space="preserve">2.Section 1.1 </w:t>
      </w:r>
      <w:r>
        <w:rPr>
          <w:rFonts w:ascii="Times New Roman;serif" w:hAnsi="Times New Roman;serif"/>
          <w:b/>
          <w:color w:val="000000"/>
          <w:sz w:val="24"/>
        </w:rPr>
        <w:t xml:space="preserve">Consulting Fees </w:t>
      </w:r>
      <w:r>
        <w:rPr>
          <w:rFonts w:ascii="Times New Roman;serif" w:hAnsi="Times New Roman;serif"/>
          <w:b w:val="false"/>
          <w:color w:val="000000"/>
          <w:sz w:val="24"/>
        </w:rPr>
        <w:t>of the Agreement is amended to read as follows: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Commencing with respect to the month of January, 2026, the Company shall pay to the Consultant consulting fees of $39,183.33 per month, payable in arrears following each month in which the Services were provided by the Consultant under this Agreement within 7 days following presentation of invoice. Payment for any partial month shall be prorated. These fees will be reviewed, upon completion of 12 months duration, solely for the purposes of evaluation inflationary impacts.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pPr>
      <w:r>
        <w:rPr>
          <w:rFonts w:ascii="Times New Roman;serif" w:hAnsi="Times New Roman;serif"/>
          <w:b w:val="false"/>
          <w:color w:val="000000"/>
          <w:sz w:val="24"/>
        </w:rPr>
        <w:t xml:space="preserve">3.Section 3 </w:t>
      </w:r>
      <w:r>
        <w:rPr>
          <w:rFonts w:ascii="Times New Roman;serif" w:hAnsi="Times New Roman;serif"/>
          <w:b/>
          <w:color w:val="000000"/>
          <w:sz w:val="24"/>
        </w:rPr>
        <w:t>Term</w:t>
      </w:r>
      <w:r>
        <w:rPr>
          <w:color w:val="000000"/>
        </w:rPr>
        <w:t xml:space="preserve"> </w:t>
      </w:r>
      <w:r>
        <w:rPr>
          <w:rFonts w:ascii="Times New Roman;serif" w:hAnsi="Times New Roman;serif"/>
          <w:b w:val="false"/>
          <w:color w:val="000000"/>
          <w:sz w:val="24"/>
        </w:rPr>
        <w:t>of the Agreement is amended to read as follows:</w:t>
      </w:r>
    </w:p>
    <w:p>
      <w:pPr>
        <w:pStyle w:val="TextBody"/>
        <w:bidi w:val="0"/>
        <w:spacing w:lineRule="auto" w:line="288" w:before="0" w:after="0"/>
        <w:jc w:val="both"/>
        <w:rPr>
          <w:color w:val="000000"/>
        </w:rPr>
      </w:pPr>
      <w:r>
        <w:rPr>
          <w:color w:val="000000"/>
        </w:rPr>
        <w:t> </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The term of this Agreement shall be until December 31, 2026, which may be extended upon mutual written agreement between the parties, unless earlier terminated in accordance with the provisions of Section 5 (the term of effectiveness of this Agreement being referred to herein as the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0520"/>
                <wp:effectExtent l="0" t="0" r="0" b="0"/>
                <wp:wrapNone/>
                <wp:docPr id="97" name="Frame9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4"/>
        </w:rPr>
        <w:t>Consultation Period”). To the extent there are ongoing Services at the time of expiration of this Agreement, this Agreement will remain in effect only with respect to, and until completion of, those Services.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4.This Amendment shall be construed, interpreted and enforced in accordance with the laws of the State of New York without regard to conflict of law principles that would result in the application of any law other than the State of New York.</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5.Except as expressly set forth in this Amendment, the Agreement shall be unchanged and shall remain in full force and effect.</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Amendment may be executed in one or more counterparts, each of which will be deemed an original, and all of which will constitute one and the same instrument. For purposes hereof, a facsimile or an electronic record of this Amendment, including the signature pages hereto, will be deemed to be an original.</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hereto have caused this Amendment to be executed by their duly authorized representatives as of the Amendment Effective Date.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5040"/>
        <w:jc w:val="left"/>
        <w:rPr/>
      </w:pPr>
      <w:r>
        <w:rPr>
          <w:rFonts w:ascii="Times New Roman;serif" w:hAnsi="Times New Roman;serif"/>
          <w:b/>
          <w:color w:val="000000"/>
          <w:sz w:val="24"/>
        </w:rPr>
        <w:t>NEUROGENE INC.</w:t>
      </w:r>
      <w:r>
        <w:rPr>
          <w:color w:val="000000"/>
        </w:rPr>
        <w:t>    </w:t>
      </w:r>
      <w:r>
        <w:rPr>
          <w:rFonts w:ascii="Times New Roman;serif" w:hAnsi="Times New Roman;serif"/>
          <w:b/>
          <w:color w:val="000000"/>
          <w:sz w:val="24"/>
        </w:rPr>
        <w:t>STUART COBB CONSULTING LTD.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(“Neurogene”)                        (“Consultant”)</w:t>
      </w:r>
    </w:p>
    <w:p>
      <w:pPr>
        <w:pStyle w:val="TextBody"/>
        <w:bidi w:val="0"/>
        <w:spacing w:before="0" w:after="0"/>
        <w:jc w:val="both"/>
        <w:rPr/>
      </w:pPr>
      <w:r>
        <w:rPr/>
      </w:r>
    </w:p>
    <w:p>
      <w:pPr>
        <w:pStyle w:val="TextBody"/>
        <w:bidi w:val="0"/>
        <w:spacing w:lineRule="auto" w:line="288" w:before="100" w:after="283"/>
        <w:jc w:val="both"/>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t>/s/ Rachel McMinn        </w:t>
      </w:r>
      <w:r>
        <w:rPr>
          <w:color w:val="000000"/>
        </w:rPr>
        <w:t>        </w:t>
      </w: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t>/s/ Stuart Cobb            </w:t>
      </w:r>
    </w:p>
    <w:p>
      <w:pPr>
        <w:pStyle w:val="TextBody"/>
        <w:bidi w:val="0"/>
        <w:spacing w:lineRule="auto" w:line="288" w:before="120" w:after="283"/>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Rachel McMinn        </w:t>
      </w:r>
      <w:r>
        <w:rPr>
          <w:color w:val="000000"/>
        </w:rPr>
        <w:t>        </w:t>
      </w:r>
      <w:r>
        <w:rPr>
          <w:rFonts w:ascii="Times New Roman;serif" w:hAnsi="Times New Roman;serif"/>
          <w:b w:val="false"/>
          <w:color w:val="000000"/>
          <w:sz w:val="24"/>
        </w:rPr>
        <w:t>Name:    </w:t>
      </w:r>
      <w:r>
        <w:rPr>
          <w:rFonts w:ascii="Times New Roman;serif" w:hAnsi="Times New Roman;serif"/>
          <w:b w:val="false"/>
          <w:color w:val="000000"/>
          <w:sz w:val="24"/>
          <w:u w:val="single"/>
        </w:rPr>
        <w:t>Stuart Cobb            </w:t>
      </w:r>
    </w:p>
    <w:p>
      <w:pPr>
        <w:pStyle w:val="TextBody"/>
        <w:bidi w:val="0"/>
        <w:spacing w:lineRule="auto" w:line="288" w:before="120" w:after="283"/>
        <w:jc w:val="both"/>
        <w:rPr/>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 xml:space="preserve">CEO                                        </w:t>
      </w:r>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24"/>
        </w:rPr>
        <w:t>Date:    </w:t>
      </w:r>
      <w:r>
        <w:rPr>
          <w:color w:val="000000"/>
          <w:u w:val="single"/>
        </w:rPr>
        <w:t>    </w:t>
      </w:r>
      <w:r>
        <w:rPr>
          <w:rFonts w:ascii="Times New Roman;serif" w:hAnsi="Times New Roman;serif"/>
          <w:b w:val="false"/>
          <w:color w:val="000000"/>
          <w:sz w:val="24"/>
          <w:u w:val="single"/>
        </w:rPr>
        <w:t>17 April 2026        </w:t>
      </w:r>
      <w:r>
        <w:rPr>
          <w:color w:val="000000"/>
        </w:rPr>
        <w:t>        </w:t>
      </w:r>
      <w:r>
        <w:rPr>
          <w:rFonts w:ascii="Times New Roman;serif" w:hAnsi="Times New Roman;serif"/>
          <w:b w:val="false"/>
          <w:color w:val="000000"/>
          <w:sz w:val="24"/>
        </w:rPr>
        <w:t>Date:    </w:t>
      </w:r>
      <w:r>
        <w:rPr>
          <w:color w:val="000000"/>
          <w:u w:val="single"/>
        </w:rPr>
        <w:t>    </w:t>
      </w:r>
      <w:r>
        <w:rPr>
          <w:rFonts w:ascii="Times New Roman;serif" w:hAnsi="Times New Roman;serif"/>
          <w:b w:val="false"/>
          <w:color w:val="000000"/>
          <w:sz w:val="24"/>
          <w:u w:val="single"/>
        </w:rPr>
        <w:t>23 April 2026        </w:t>
      </w:r>
    </w:p>
    <w:p>
      <w:pPr>
        <w:pStyle w:val="TextBody"/>
        <w:bidi w:val="0"/>
        <w:spacing w:before="0" w:after="0"/>
        <w:jc w:val="both"/>
        <w:rPr/>
      </w:pPr>
      <w:r>
        <w:rPr/>
      </w:r>
    </w:p>
    <w:p>
      <w:pPr>
        <w:pStyle w:val="TextBody"/>
        <w:bidi w:val="0"/>
        <w:spacing w:before="0" w:after="0"/>
        <w:jc w:val="center"/>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0520"/>
                <wp:effectExtent l="0" t="0" r="0" b="0"/>
                <wp:wrapNone/>
                <wp:docPr id="98" name="Frame9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Rachel McMinn,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of Neurogene Inc:</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333" w:before="120" w:after="28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bl>
      <w:tblPr>
        <w:tblW w:w="4469" w:type="dxa"/>
        <w:jc w:val="left"/>
        <w:tblInd w:w="0" w:type="dxa"/>
        <w:tblLayout w:type="fixed"/>
        <w:tblCellMar>
          <w:top w:w="28" w:type="dxa"/>
          <w:left w:w="28" w:type="dxa"/>
          <w:bottom w:w="28" w:type="dxa"/>
          <w:right w:w="28" w:type="dxa"/>
        </w:tblCellMar>
      </w:tblPr>
      <w:tblGrid>
        <w:gridCol w:w="1428"/>
        <w:gridCol w:w="1256"/>
        <w:gridCol w:w="1785"/>
      </w:tblGrid>
      <w:tr>
        <w:trPr/>
        <w:tc>
          <w:tcPr>
            <w:tcW w:w="142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Rachel McMinn</w:t>
            </w:r>
          </w:p>
        </w:tc>
      </w:tr>
      <w:tr>
        <w:trPr/>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Rachel McMinn</w:t>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Christine Mikail, certify that: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of Neurogene Inc:</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11, 2026 </w:t>
      </w:r>
    </w:p>
    <w:tbl>
      <w:tblPr>
        <w:tblW w:w="5684" w:type="dxa"/>
        <w:jc w:val="left"/>
        <w:tblInd w:w="0" w:type="dxa"/>
        <w:tblLayout w:type="fixed"/>
        <w:tblCellMar>
          <w:top w:w="28" w:type="dxa"/>
          <w:left w:w="28" w:type="dxa"/>
          <w:bottom w:w="28" w:type="dxa"/>
          <w:right w:w="28" w:type="dxa"/>
        </w:tblCellMar>
      </w:tblPr>
      <w:tblGrid>
        <w:gridCol w:w="1821"/>
        <w:gridCol w:w="1601"/>
        <w:gridCol w:w="2262"/>
      </w:tblGrid>
      <w:tr>
        <w:trPr/>
        <w:tc>
          <w:tcPr>
            <w:tcW w:w="1821"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color w:val="000000"/>
                <w:sz w:val="20"/>
              </w:rPr>
            </w:pPr>
            <w:r>
              <w:rPr>
                <w:rFonts w:ascii="Times New Roman;serif" w:hAnsi="Times New Roman;serif"/>
                <w:b w:val="false"/>
                <w:color w:val="000000"/>
                <w:sz w:val="20"/>
              </w:rPr>
              <w:t>/s/ Christine Mikail</w:t>
            </w:r>
          </w:p>
        </w:tc>
      </w:tr>
      <w:tr>
        <w:trPr/>
        <w:tc>
          <w:tcPr>
            <w:tcW w:w="5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Christine Mikail</w:t>
            </w:r>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President and Chief Financial Officer (Principal Financial Officer)</w:t>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0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33" w:before="200" w:after="283"/>
        <w:jc w:val="center"/>
        <w:rPr>
          <w:rFonts w:ascii="Times New Roman;serif" w:hAnsi="Times New Roman;serif"/>
          <w:b/>
          <w:color w:val="000000"/>
          <w:sz w:val="20"/>
        </w:rPr>
      </w:pPr>
      <w:r>
        <w:rPr>
          <w:rFonts w:ascii="Times New Roman;serif" w:hAnsi="Times New Roman;serif"/>
          <w:b/>
          <w:color w:val="000000"/>
          <w:sz w:val="20"/>
        </w:rPr>
        <w:t>NEUROGENE INC.</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333"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Neurogene Inc. (the “Company”) for the quarter ended June 30, 2026, as filed with the Securities and Exchange Commission on the date hereof (the “Report”), Rachel McMinn, Chief Executive Officer of the Company, and Christine Mikail, President and Chief Financial Officer of the Company, each hereby certify, pursuant to 18 U.S.C. Section 1350, as adopted pursuant to Section 906 of the Sarbanes-Oxley Act of 2002, that, to the best of her knowledge:</w:t>
      </w:r>
    </w:p>
    <w:p>
      <w:pPr>
        <w:pStyle w:val="TextBody"/>
        <w:bidi w:val="0"/>
        <w:spacing w:lineRule="auto" w:line="333"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333"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333" w:before="120" w:after="220"/>
        <w:jc w:val="both"/>
        <w:rPr/>
      </w:pPr>
      <w:r>
        <w:rPr>
          <w:rFonts w:ascii="Times New Roman;serif" w:hAnsi="Times New Roman;serif"/>
          <w:b/>
          <w:color w:val="000000"/>
          <w:sz w:val="20"/>
        </w:rPr>
        <w:t>IN WITNESS WHEREOF</w:t>
      </w:r>
      <w:r>
        <w:rPr>
          <w:rFonts w:ascii="Times New Roman;serif" w:hAnsi="Times New Roman;serif"/>
          <w:b w:val="false"/>
          <w:color w:val="000000"/>
          <w:sz w:val="20"/>
        </w:rPr>
        <w:t xml:space="preserve">, the undersigned have set their hands hereto as of August 11, 2026. </w:t>
      </w:r>
    </w:p>
    <w:tbl>
      <w:tblPr>
        <w:tblW w:w="5606" w:type="dxa"/>
        <w:jc w:val="left"/>
        <w:tblInd w:w="0" w:type="dxa"/>
        <w:tblLayout w:type="fixed"/>
        <w:tblCellMar>
          <w:top w:w="28" w:type="dxa"/>
          <w:left w:w="28" w:type="dxa"/>
          <w:bottom w:w="28" w:type="dxa"/>
          <w:right w:w="28" w:type="dxa"/>
        </w:tblCellMar>
      </w:tblPr>
      <w:tblGrid>
        <w:gridCol w:w="732"/>
        <w:gridCol w:w="645"/>
        <w:gridCol w:w="647"/>
        <w:gridCol w:w="109"/>
        <w:gridCol w:w="109"/>
        <w:gridCol w:w="109"/>
        <w:gridCol w:w="949"/>
        <w:gridCol w:w="949"/>
        <w:gridCol w:w="1357"/>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Rachel McMinn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Christine Mikail</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Rachel McMinn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Christine Mikail</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President and Chief Financial Officer</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certification is being furnished solely to accompany the Report pursuant to 18 U.S.C. Section 1350, is not deemed filed with the Securities and Exchange Commission and is not to be incorporated by reference into any filing of Neurogene Inc. under the Securities Act of 1933, as amended, or the Securities Exchange Act of 1934, as amended (whether made before or after the date of the Form 10-Q), irrespective of any general incorporation language contained in such filing. </w:t>
      </w:r>
    </w:p>
    <w:p>
      <w:pPr>
        <w:pStyle w:val="TextBody"/>
        <w:bidi w:val="0"/>
        <w:spacing w:before="0" w:after="0"/>
        <w:jc w:val="left"/>
        <w:rPr/>
      </w:pPr>
      <w:r>
        <w:rPr/>
      </w:r>
    </w:p>
    <w:p>
      <w:pPr>
        <w:pStyle w:val="TextBody"/>
        <w:bidi w:val="0"/>
        <w:spacing w:lineRule="auto" w:line="333"/>
        <w:jc w:val="left"/>
        <w:rPr>
          <w:rFonts w:ascii="Times New Roman;serif" w:hAnsi="Times New Roman;serif"/>
          <w:b w:val="false"/>
          <w:color w:val="000000"/>
          <w:sz w:val="20"/>
        </w:rPr>
      </w:pPr>
      <w:r>
        <w:rPr>
          <w:rFonts w:ascii="Times New Roman;serif" w:hAnsi="Times New Roman;serif"/>
          <w:b w:val="false"/>
          <w:color w:val="000000"/>
          <w:sz w:val="20"/>
        </w:rPr>
        <w:t>Note: A signed original of this written statement required by §906 has been provided to Neurogene Inc. and will be retained by Neurogene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64492</Words>
  <Characters>362535</Characters>
  <CharactersWithSpaces>425508</CharactersWithSpaces>
  <Paragraphs>2525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