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3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333-286057</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 Prospectus dated April 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8890</wp:posOffset>
            </wp:positionV>
            <wp:extent cx="131127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9086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3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3,500,000 Shares of Common Stock</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Pre-Funded Warrants to Purchase 666,666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81280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39" w:lineRule="exact"/>
        <w:rPr>
          <w:sz w:val="24"/>
          <w:szCs w:val="24"/>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are offering 3,500,000 shares of our common stock and, in lieu of the shares of common stock to certain investors that so choose, pre-funded warrants to purchase 666,666 shares of our common stock. The purchase price of each pre-funded warrant will equal the price per share at which shares of our common stock are being sold to the public in this offering, minus $0.000001 per share of common stock, the exercise price of each pre-funded warrant. The public offering price for each share of common stock is $30.00. We are also offering the shares of our common stock that are issuable from time to time upon exercise of the pre-funded warrants. Our common stock trades on The Nasdaq Global Market (“Nasdaq”) under the symbol “NGNE.” On June 30, 2026, the last reported sale price for our common stock on Nasdaq was $31.45 per share.</w:t>
      </w:r>
    </w:p>
    <w:p>
      <w:pPr>
        <w:spacing w:after="0" w:line="7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and we do not expect a market to develop. We do not intend to apply for listing of the pre-funded warrants on Nasdaq or any securities exchange or nationally recognized trading system. Without an active trading market, the liquidity of the pre-funded warrants will be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71755</wp:posOffset>
            </wp:positionV>
            <wp:extent cx="13112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S-8</w:t>
      </w:r>
      <w:r>
        <w:rPr>
          <w:rFonts w:ascii="Times New Roman" w:cs="Times New Roman" w:eastAsia="Times New Roman" w:hAnsi="Times New Roman"/>
          <w:sz w:val="18"/>
          <w:szCs w:val="18"/>
          <w:b w:val="1"/>
          <w:bCs w:val="1"/>
          <w:color w:val="auto"/>
        </w:rPr>
        <w:t xml:space="preserve"> of this prospectus supplement, and under similar headings in the documents that are incorporated by reference into this prospectus supplement and the accompanying prospectus. We are a “smaller reporting company” as defined by Rule 12b-2 of the Securities Exchange Act of 1934, as amended (the “Exchange Act”), and are subject to reduced public company reporting requirements.</w:t>
      </w:r>
    </w:p>
    <w:p>
      <w:pPr>
        <w:spacing w:after="0" w:line="68" w:lineRule="exact"/>
        <w:rPr>
          <w:sz w:val="24"/>
          <w:szCs w:val="24"/>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supplement and the accompanying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71120</wp:posOffset>
            </wp:positionV>
            <wp:extent cx="13112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tbl>
      <w:tblPr>
        <w:tblLayout w:type="fixed"/>
        <w:tblInd w:w="0" w:type="dxa"/>
        <w:tblCellMar>
          <w:top w:w="0" w:type="dxa"/>
          <w:left w:w="0" w:type="dxa"/>
          <w:bottom w:w="0" w:type="dxa"/>
          <w:right w:w="0" w:type="dxa"/>
        </w:tblCellMar>
      </w:tblPr>
      <w:tr>
        <w:trPr>
          <w:trHeight w:val="151"/>
        </w:trPr>
        <w:tc>
          <w:tcPr>
            <w:tcW w:w="69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40" w:type="dxa"/>
            <w:vAlign w:val="bottom"/>
            <w:tcBorders>
              <w:top w:val="single" w:sz="8" w:color="auto"/>
            </w:tcBorders>
            <w:gridSpan w:val="3"/>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PER PRE-FUNDED</w:t>
            </w:r>
          </w:p>
        </w:tc>
        <w:tc>
          <w:tcPr>
            <w:tcW w:w="2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Offering Price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tcPr>
          <w:p>
            <w:pPr>
              <w:spacing w:after="0"/>
              <w:rPr>
                <w:sz w:val="19"/>
                <w:szCs w:val="19"/>
                <w:color w:val="auto"/>
              </w:rPr>
            </w:pPr>
          </w:p>
        </w:tc>
        <w:tc>
          <w:tcPr>
            <w:tcW w:w="2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29.999999</w:t>
            </w:r>
          </w:p>
        </w:tc>
        <w:tc>
          <w:tcPr>
            <w:tcW w:w="8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124,999,979</w:t>
            </w:r>
          </w:p>
        </w:tc>
        <w:tc>
          <w:tcPr>
            <w:tcW w:w="0" w:type="dxa"/>
            <w:vAlign w:val="bottom"/>
          </w:tcPr>
          <w:p>
            <w:pPr>
              <w:spacing w:after="0"/>
              <w:rPr>
                <w:sz w:val="1"/>
                <w:szCs w:val="1"/>
                <w:color w:val="auto"/>
              </w:rPr>
            </w:pPr>
          </w:p>
        </w:tc>
      </w:tr>
      <w:tr>
        <w:trPr>
          <w:trHeight w:val="233"/>
        </w:trPr>
        <w:tc>
          <w:tcPr>
            <w:tcW w:w="698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Underwriting Discounts and Commissions</w:t>
            </w:r>
            <w:r>
              <w:rPr>
                <w:rFonts w:ascii="Times New Roman" w:cs="Times New Roman" w:eastAsia="Times New Roman" w:hAnsi="Times New Roman"/>
                <w:sz w:val="23"/>
                <w:szCs w:val="23"/>
                <w:color w:val="auto"/>
                <w:vertAlign w:val="superscript"/>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tcPr>
          <w:p>
            <w:pPr>
              <w:spacing w:after="0"/>
              <w:rPr>
                <w:sz w:val="20"/>
                <w:szCs w:val="20"/>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7,499,999</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Proceeds, Before Expenses, to Neurogene Inc.</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28.199999</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117,499,980</w:t>
            </w:r>
          </w:p>
        </w:tc>
        <w:tc>
          <w:tcPr>
            <w:tcW w:w="0" w:type="dxa"/>
            <w:vAlign w:val="bottom"/>
          </w:tcPr>
          <w:p>
            <w:pPr>
              <w:spacing w:after="0"/>
              <w:rPr>
                <w:sz w:val="1"/>
                <w:szCs w:val="1"/>
                <w:color w:val="auto"/>
              </w:rPr>
            </w:pPr>
          </w:p>
        </w:tc>
      </w:tr>
    </w:tbl>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See the section titled “</w:t>
      </w:r>
      <w:r>
        <w:rPr>
          <w:rFonts w:ascii="Times New Roman" w:cs="Times New Roman" w:eastAsia="Times New Roman" w:hAnsi="Times New Roman"/>
          <w:sz w:val="14"/>
          <w:szCs w:val="14"/>
          <w:u w:val="single" w:color="auto"/>
          <w:color w:val="0000FF"/>
        </w:rPr>
        <w:t>Underwriting</w:t>
      </w:r>
      <w:r>
        <w:rPr>
          <w:rFonts w:ascii="Times New Roman" w:cs="Times New Roman" w:eastAsia="Times New Roman" w:hAnsi="Times New Roman"/>
          <w:sz w:val="14"/>
          <w:szCs w:val="14"/>
          <w:color w:val="auto"/>
        </w:rPr>
        <w:t>” for additional information regarding underwriting compensation.</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shares of common stock and pre-funded warrants is expected to be made on or about July 2, 2026.</w:t>
      </w:r>
    </w:p>
    <w:p>
      <w:pPr>
        <w:spacing w:after="0" w:line="117" w:lineRule="exact"/>
        <w:rPr>
          <w:sz w:val="24"/>
          <w:szCs w:val="24"/>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 an additional 624,999 shares of our common stock. If the underwriters exercise the option in full, the total underwriting discounts and commissions payable by us will be approximately $8.6 million and the total proceeds to us, before expenses, will be approximately $135.1 million.</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165" w:lineRule="exact"/>
        <w:rPr>
          <w:sz w:val="24"/>
          <w:szCs w:val="24"/>
          <w:color w:val="auto"/>
        </w:rPr>
      </w:pPr>
    </w:p>
    <w:p>
      <w:pPr>
        <w:ind w:left="20"/>
        <w:spacing w:after="0"/>
        <w:tabs>
          <w:tab w:leader="none" w:pos="3120" w:val="left"/>
          <w:tab w:leader="none" w:pos="4560" w:val="left"/>
          <w:tab w:leader="none" w:pos="7580" w:val="left"/>
          <w:tab w:leader="none" w:pos="10000" w:val="left"/>
        </w:tabs>
        <w:rPr>
          <w:sz w:val="20"/>
          <w:szCs w:val="20"/>
          <w:color w:val="auto"/>
        </w:rPr>
      </w:pPr>
      <w:r>
        <w:rPr>
          <w:rFonts w:ascii="Times New Roman" w:cs="Times New Roman" w:eastAsia="Times New Roman" w:hAnsi="Times New Roman"/>
          <w:sz w:val="20"/>
          <w:szCs w:val="20"/>
          <w:b w:val="1"/>
          <w:bCs w:val="1"/>
          <w:color w:val="auto"/>
        </w:rPr>
        <w:t>Leerink Partners</w:t>
      </w:r>
      <w:r>
        <w:rPr>
          <w:sz w:val="20"/>
          <w:szCs w:val="20"/>
          <w:color w:val="auto"/>
        </w:rPr>
        <w:tab/>
      </w:r>
      <w:r>
        <w:rPr>
          <w:rFonts w:ascii="Times New Roman" w:cs="Times New Roman" w:eastAsia="Times New Roman" w:hAnsi="Times New Roman"/>
          <w:sz w:val="20"/>
          <w:szCs w:val="20"/>
          <w:b w:val="1"/>
          <w:bCs w:val="1"/>
          <w:color w:val="auto"/>
        </w:rPr>
        <w:t>Stifel</w:t>
      </w:r>
      <w:r>
        <w:rPr>
          <w:sz w:val="20"/>
          <w:szCs w:val="20"/>
          <w:color w:val="auto"/>
        </w:rPr>
        <w:tab/>
      </w:r>
      <w:r>
        <w:rPr>
          <w:rFonts w:ascii="Times New Roman" w:cs="Times New Roman" w:eastAsia="Times New Roman" w:hAnsi="Times New Roman"/>
          <w:sz w:val="20"/>
          <w:szCs w:val="20"/>
          <w:b w:val="1"/>
          <w:bCs w:val="1"/>
          <w:color w:val="auto"/>
        </w:rPr>
        <w:t>Guggenheim Securities</w:t>
      </w:r>
      <w:r>
        <w:rPr>
          <w:sz w:val="20"/>
          <w:szCs w:val="20"/>
          <w:color w:val="auto"/>
        </w:rPr>
        <w:tab/>
      </w:r>
      <w:r>
        <w:rPr>
          <w:rFonts w:ascii="Times New Roman" w:cs="Times New Roman" w:eastAsia="Times New Roman" w:hAnsi="Times New Roman"/>
          <w:sz w:val="20"/>
          <w:szCs w:val="20"/>
          <w:b w:val="1"/>
          <w:bCs w:val="1"/>
          <w:color w:val="auto"/>
        </w:rPr>
        <w:t>LifeSci Capital</w:t>
      </w:r>
      <w:r>
        <w:rPr>
          <w:sz w:val="20"/>
          <w:szCs w:val="20"/>
          <w:color w:val="auto"/>
        </w:rPr>
        <w:tab/>
      </w:r>
      <w:r>
        <w:rPr>
          <w:rFonts w:ascii="Times New Roman" w:cs="Times New Roman" w:eastAsia="Times New Roman" w:hAnsi="Times New Roman"/>
          <w:sz w:val="19"/>
          <w:szCs w:val="19"/>
          <w:b w:val="1"/>
          <w:bCs w:val="1"/>
          <w:color w:val="auto"/>
        </w:rPr>
        <w:t>William Blair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187960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June 30, 2026</w:t>
      </w:r>
    </w:p>
    <w:p>
      <w:pPr>
        <w:sectPr>
          <w:pgSz w:w="11900" w:h="16838" w:orient="portrait"/>
          <w:cols w:equalWidth="0" w:num="1">
            <w:col w:w="11240"/>
          </w:cols>
          <w:pgMar w:left="320" w:top="245" w:right="339" w:bottom="1440" w:gutter="0" w:footer="0" w:header="0"/>
        </w:sectPr>
      </w:pPr>
    </w:p>
    <w:bookmarkStart w:id="1" w:name="page2"/>
    <w:bookmarkEnd w:id="1"/>
    <w:p>
      <w:pPr>
        <w:spacing w:after="0" w:line="13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3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360" w:type="dxa"/>
            <w:vAlign w:val="bottom"/>
            <w:gridSpan w:val="17"/>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gridSpan w:val="3"/>
          </w:tcPr>
          <w:p>
            <w:pPr>
              <w:jc w:val="right"/>
              <w:ind w:right="20"/>
              <w:spacing w:after="0" w:line="183" w:lineRule="exact"/>
              <w:rPr>
                <w:sz w:val="20"/>
                <w:szCs w:val="20"/>
                <w:color w:val="auto"/>
              </w:rPr>
            </w:pPr>
            <w:r>
              <w:rPr>
                <w:rFonts w:ascii="Times New Roman" w:cs="Times New Roman" w:eastAsia="Times New Roman" w:hAnsi="Times New Roman"/>
                <w:sz w:val="16"/>
                <w:szCs w:val="16"/>
                <w:color w:val="0000FF"/>
                <w:w w:val="71"/>
              </w:rPr>
              <w:t>S-1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CONCERNING FORWARD-LOOKING STATEMENTS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PROSPECTUS SUPPLEMENT SUMMARY</w:t>
            </w:r>
          </w:p>
        </w:tc>
        <w:tc>
          <w:tcPr>
            <w:tcW w:w="3160" w:type="dxa"/>
            <w:vAlign w:val="bottom"/>
            <w:gridSpan w:val="4"/>
          </w:tcPr>
          <w:p>
            <w:pPr>
              <w:spacing w:after="0"/>
              <w:rPr>
                <w:sz w:val="18"/>
                <w:szCs w:val="18"/>
                <w:color w:val="auto"/>
              </w:rPr>
            </w:pPr>
          </w:p>
        </w:tc>
        <w:tc>
          <w:tcPr>
            <w:tcW w:w="3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3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THE OFFERING</w:t>
            </w:r>
          </w:p>
        </w:tc>
        <w:tc>
          <w:tcPr>
            <w:tcW w:w="7060" w:type="dxa"/>
            <w:vAlign w:val="bottom"/>
            <w:gridSpan w:val="5"/>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4"/>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w w:val="71"/>
              </w:rPr>
              <w:t>S-8</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S-11</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DILUTION</w:t>
            </w:r>
          </w:p>
        </w:tc>
        <w:tc>
          <w:tcPr>
            <w:tcW w:w="8780" w:type="dxa"/>
            <w:vAlign w:val="bottom"/>
            <w:gridSpan w:val="11"/>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7840" w:type="dxa"/>
            <w:vAlign w:val="bottom"/>
            <w:gridSpan w:val="7"/>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S-14</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9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U.S. FEDERAL INCOME TAX CONSIDERATIONS</w:t>
            </w:r>
          </w:p>
        </w:tc>
        <w:tc>
          <w:tcPr>
            <w:tcW w:w="6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S-16</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UNDERWRITING</w:t>
            </w:r>
          </w:p>
        </w:tc>
        <w:tc>
          <w:tcPr>
            <w:tcW w:w="2520" w:type="dxa"/>
            <w:vAlign w:val="bottom"/>
            <w:gridSpan w:val="11"/>
          </w:tcPr>
          <w:p>
            <w:pPr>
              <w:spacing w:after="0"/>
              <w:rPr>
                <w:sz w:val="18"/>
                <w:szCs w:val="18"/>
                <w:color w:val="auto"/>
              </w:rPr>
            </w:pPr>
          </w:p>
        </w:tc>
        <w:tc>
          <w:tcPr>
            <w:tcW w:w="6440" w:type="dxa"/>
            <w:vAlign w:val="bottom"/>
            <w:gridSpan w:val="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S-22</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w w:val="93"/>
              </w:rPr>
              <w:t>S-29</w:t>
            </w:r>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S-30</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WHERE YOU CAN FIND MORE INFORMATION</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S-31</w:t>
            </w:r>
          </w:p>
        </w:tc>
        <w:tc>
          <w:tcPr>
            <w:tcW w:w="0" w:type="dxa"/>
            <w:vAlign w:val="bottom"/>
          </w:tcPr>
          <w:p>
            <w:pPr>
              <w:spacing w:after="0"/>
              <w:rPr>
                <w:sz w:val="1"/>
                <w:szCs w:val="1"/>
                <w:color w:val="auto"/>
              </w:rPr>
            </w:pPr>
          </w:p>
        </w:tc>
      </w:tr>
      <w:tr>
        <w:trPr>
          <w:trHeight w:val="493"/>
        </w:trPr>
        <w:tc>
          <w:tcPr>
            <w:tcW w:w="7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6440" w:type="dxa"/>
            <w:vAlign w:val="bottom"/>
            <w:gridSpan w:val="2"/>
          </w:tcPr>
          <w:p>
            <w:pPr>
              <w:ind w:left="10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500" w:type="dxa"/>
            <w:vAlign w:val="bottom"/>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86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2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8120" w:type="dxa"/>
            <w:vAlign w:val="bottom"/>
            <w:gridSpan w:val="9"/>
            <w:vMerge w:val="restart"/>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240" w:type="dxa"/>
            <w:vAlign w:val="bottom"/>
            <w:tcBorders>
              <w:bottom w:val="single" w:sz="8" w:color="0000FF"/>
            </w:tcBorders>
            <w:gridSpan w:val="8"/>
            <w:vMerge w:val="continue"/>
          </w:tcPr>
          <w:p>
            <w:pPr>
              <w:spacing w:after="0"/>
              <w:rPr>
                <w:sz w:val="15"/>
                <w:szCs w:val="15"/>
                <w:color w:val="auto"/>
              </w:rPr>
            </w:pPr>
          </w:p>
        </w:tc>
        <w:tc>
          <w:tcPr>
            <w:tcW w:w="8120" w:type="dxa"/>
            <w:vAlign w:val="bottom"/>
            <w:gridSpan w:val="9"/>
            <w:vMerge w:val="continue"/>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CAUTIONARY STATEMENT CONCERNING FORWARD-LOOKING STATEMENTS</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rPr>
              <w:t>ii</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00" w:type="dxa"/>
            <w:vAlign w:val="bottom"/>
            <w:tcBorders>
              <w:left w:val="single" w:sz="8" w:color="0000FF"/>
            </w:tcBorders>
            <w:gridSpan w:val="4"/>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THE COMPANY</w:t>
            </w:r>
          </w:p>
        </w:tc>
        <w:tc>
          <w:tcPr>
            <w:tcW w:w="3900" w:type="dxa"/>
            <w:vAlign w:val="bottom"/>
          </w:tcPr>
          <w:p>
            <w:pPr>
              <w:spacing w:after="0"/>
              <w:rPr>
                <w:sz w:val="18"/>
                <w:szCs w:val="18"/>
                <w:color w:val="auto"/>
              </w:rPr>
            </w:pPr>
          </w:p>
        </w:tc>
        <w:tc>
          <w:tcPr>
            <w:tcW w:w="76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RISK FACTORS</w:t>
            </w:r>
          </w:p>
        </w:tc>
        <w:tc>
          <w:tcPr>
            <w:tcW w:w="9100" w:type="dxa"/>
            <w:vAlign w:val="bottom"/>
            <w:gridSpan w:val="14"/>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1260" w:type="dxa"/>
            <w:vAlign w:val="bottom"/>
            <w:gridSpan w:val="3"/>
            <w:shd w:val="clear" w:color="auto" w:fill="0000FF"/>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USE OF PROCEEDS</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1580" w:type="dxa"/>
            <w:vAlign w:val="bottom"/>
            <w:gridSpan w:val="6"/>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SECURITIES WE MAY OFFER</w:t>
            </w: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60" w:type="dxa"/>
            <w:vAlign w:val="bottom"/>
            <w:gridSpan w:val="7"/>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8"/>
              </w:rPr>
              <w:t>DESCRIPTION OF SECURITIES</w:t>
            </w:r>
          </w:p>
        </w:tc>
        <w:tc>
          <w:tcPr>
            <w:tcW w:w="7840" w:type="dxa"/>
            <w:vAlign w:val="bottom"/>
            <w:gridSpan w:val="7"/>
          </w:tcPr>
          <w:p>
            <w:pPr>
              <w:spacing w:after="0"/>
              <w:rPr>
                <w:sz w:val="18"/>
                <w:szCs w:val="18"/>
                <w:color w:val="auto"/>
              </w:rPr>
            </w:pPr>
          </w:p>
        </w:tc>
        <w:tc>
          <w:tcPr>
            <w:tcW w:w="8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60" w:type="dxa"/>
            <w:vAlign w:val="bottom"/>
            <w:gridSpan w:val="7"/>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460" w:type="dxa"/>
            <w:vAlign w:val="bottom"/>
            <w:gridSpan w:val="3"/>
          </w:tcPr>
          <w:p>
            <w:pPr>
              <w:spacing w:after="0"/>
              <w:rPr>
                <w:sz w:val="18"/>
                <w:szCs w:val="18"/>
                <w:color w:val="auto"/>
              </w:rPr>
            </w:pPr>
          </w:p>
        </w:tc>
        <w:tc>
          <w:tcPr>
            <w:tcW w:w="7840" w:type="dxa"/>
            <w:vAlign w:val="bottom"/>
            <w:gridSpan w:val="7"/>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EXPERTS</w:t>
            </w:r>
          </w:p>
        </w:tc>
        <w:tc>
          <w:tcPr>
            <w:tcW w:w="680" w:type="dxa"/>
            <w:vAlign w:val="bottom"/>
            <w:tcBorders>
              <w:top w:val="single" w:sz="8" w:color="0000FF"/>
            </w:tcBorders>
            <w:gridSpan w:val="4"/>
          </w:tcPr>
          <w:p>
            <w:pPr>
              <w:spacing w:after="0"/>
              <w:rPr>
                <w:sz w:val="18"/>
                <w:szCs w:val="18"/>
                <w:color w:val="auto"/>
              </w:rPr>
            </w:pPr>
          </w:p>
        </w:tc>
        <w:tc>
          <w:tcPr>
            <w:tcW w:w="8900" w:type="dxa"/>
            <w:vAlign w:val="bottom"/>
            <w:gridSpan w:val="12"/>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3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INCORPORATION BY REFERENCE</w:t>
            </w: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gridSpan w:val="11"/>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8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6540" w:type="dxa"/>
            <w:vAlign w:val="bottom"/>
            <w:gridSpan w:val="3"/>
          </w:tcPr>
          <w:p>
            <w:pPr>
              <w:spacing w:after="0"/>
              <w:rPr>
                <w:sz w:val="18"/>
                <w:szCs w:val="18"/>
                <w:color w:val="auto"/>
              </w:rPr>
            </w:pPr>
          </w:p>
        </w:tc>
        <w:tc>
          <w:tcPr>
            <w:tcW w:w="66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75" w:lineRule="exact"/>
        <w:rPr>
          <w:sz w:val="20"/>
          <w:szCs w:val="20"/>
          <w:color w:val="auto"/>
        </w:rPr>
      </w:pPr>
    </w:p>
    <w:p>
      <w:pPr>
        <w:jc w:val="both"/>
        <w:ind w:right="140"/>
        <w:spacing w:after="0" w:line="272"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relate to this offering. Before buying any of the securities that we are offering, we urge you to carefully read this prospectus supplement, the accompanying prospectus and any free writing prospectus, together with the information incorporated by reference as described under the headings “Where You Can Find More Information” and “Incorporation by Reference” in this prospectus supplement.</w:t>
      </w:r>
    </w:p>
    <w:p>
      <w:pPr>
        <w:spacing w:after="0" w:line="2"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These documents contain important information that you should consider when making your investment decision. Unless the context otherwise requires, references in this prospectus supplement to “Neurogene,” “Company,” “we,” “us,” “our,” and “ours” refer to Neurogene Inc.</w:t>
      </w:r>
    </w:p>
    <w:p>
      <w:pPr>
        <w:spacing w:after="0" w:line="1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this offering of securities and also adds to, updates and changes information contained in the accompanying prospectus and the documents incorporated by reference. The second part is the accompanying prospectus, which gives more general information. Generally, when we refer to this prospectus, we are referring to both parts of this document combined. To the extent the information contained in this prospectus supplement differs from or conflicts with the information contained in the accompanying prospectus or any document incorporated by reference, the information in this prospectus supplement will control. If any statement in one of these documents is inconsistent with a statement in another document having a later date—for example, a document incorporated by reference into this prospectus supplement and the accompanying prospectus—the statement in the document having the later date modifies or supersedes the earlier statement.</w:t>
      </w:r>
    </w:p>
    <w:p>
      <w:pPr>
        <w:spacing w:after="0" w:line="13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different from that which is contained in or incorporated by reference in this prospectus supplement, the accompanying prospectus and in any free writing prospectus that we may authorize for use in connection with this offering. We take no responsibility for, and can provide no assurance as to the reliability of, any other information that others may give to you. We are not, and the underwriters are not, making offers to sell or seeking offers to buy these securities in any jurisdiction where the offer or sale is not permitted. You should assume that the information contained in this prospectus supplement, the accompanying prospectus or any free writing prospectus is accurate only as of its date and that any information we have incorporated by reference or included in the accompanying prospectus is accurate only as of the date given in the document incorporated by reference or as of the date of the prospectus, as applicable, regardless of the time of delivery of this prospectus supplement, the accompanying prospectus, any related free writing prospectus, or any sale of our securities. Our business, financial condition, results of operations and prospects may have changed since those dates.</w:t>
      </w:r>
    </w:p>
    <w:p>
      <w:pPr>
        <w:spacing w:after="0" w:line="134" w:lineRule="exact"/>
        <w:rPr>
          <w:sz w:val="20"/>
          <w:szCs w:val="20"/>
          <w:color w:val="auto"/>
        </w:rPr>
      </w:pPr>
    </w:p>
    <w:p>
      <w:pPr>
        <w:ind w:right="640"/>
        <w:spacing w:after="0" w:line="277" w:lineRule="auto"/>
        <w:rPr>
          <w:sz w:val="20"/>
          <w:szCs w:val="20"/>
          <w:color w:val="auto"/>
        </w:rPr>
      </w:pPr>
      <w:r>
        <w:rPr>
          <w:rFonts w:ascii="Times New Roman" w:cs="Times New Roman" w:eastAsia="Times New Roman" w:hAnsi="Times New Roman"/>
          <w:sz w:val="17"/>
          <w:szCs w:val="17"/>
          <w:color w:val="auto"/>
        </w:rPr>
        <w:t>We further note that the representations, warranties and covenants made by us in any agreement that is filed as an exhibit to any document that is incorporated by reference into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1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investors outside the United States: we have not, and the underwriters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our common stock and the distribution of this prospectus supplement and the accompanying prospectus outside of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within the meaning of Section 27A of the Securities Act of 1933, as amended (the “Securities Act”), and Section 21E of the Exchange Act in this prospectus supplement and the accompanying prospectus, including the documents that we incorporate by reference herein and therein. These forward-looking statements can generally be identified as such because the context of the statement will include words such as “may,” “will,” “intend,” “plan,” “believe,” “anticipate,” “expect,” “estimate,” “predict,” “potential,” “continue,” “likely,” “target,” “forecast,”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prospectus supplement are cautioned not to place undue reliance on these forward-looking statements, which speak only as of the time this prospectus supplement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w:t>
      </w:r>
    </w:p>
    <w:p>
      <w:pPr>
        <w:spacing w:after="0" w:line="140" w:lineRule="exact"/>
        <w:rPr>
          <w:sz w:val="20"/>
          <w:szCs w:val="20"/>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have not completed any clinical trials, and have no products approved for commercial sale, and our results may vary from quarter to quarter.</w:t>
      </w:r>
    </w:p>
    <w:p>
      <w:pPr>
        <w:spacing w:after="0" w:line="10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substantial additional capital to finance our operations in the future. If we are unable to raise such capital when needed, or on acceptable terms, we may be forced to delay, reduce or eliminate clinical trials, product development programs or future commercialization efforts.</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inception, and expect to incur significant losses for the foreseeable future and may not be able to achieve or sustain profitability in the future. We have no products for sale, have not generated any product revenue and may never generate product revenue or become profitable.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the success of our most advanced product candidate, NGN-401, and our ongoing clinical trial of NGN-401 may not be successful.</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NGN-401 is in clinical development and our other programs are in early stages of development and may fail in development or suffer delays that materially and adversely affect their commercial viability. If we are unable to complete development of, or commercialize, our product candidates, or experience significant delays in doing so, our business will be materially harmed.</w:t>
      </w:r>
    </w:p>
    <w:p>
      <w:pPr>
        <w:spacing w:after="0" w:line="12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our manufacturing capabilities or failure to achieve operating efficiencies from such capabilities may require us to devote additional resources and management time to manufacturing operations and may delay our product development timelines.</w:t>
      </w:r>
    </w:p>
    <w:p>
      <w:pPr>
        <w:spacing w:after="0" w:line="107" w:lineRule="exact"/>
        <w:rPr>
          <w:rFonts w:ascii="Times New Roman" w:cs="Times New Roman" w:eastAsia="Times New Roman" w:hAnsi="Times New Roman"/>
          <w:sz w:val="18"/>
          <w:szCs w:val="18"/>
          <w:color w:val="auto"/>
        </w:rPr>
      </w:pPr>
    </w:p>
    <w:p>
      <w:pPr>
        <w:ind w:left="660" w:right="80" w:hanging="328"/>
        <w:spacing w:after="0" w:line="258"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number of academic collaborations, and currently rely on our collaboration with the University of Edinburgh for certain aspects of our preclinical research and development programs, including working in collaboration to discover and preclinically develop potential product candidates for our near-term future pipeline. Failure or delay of the University of Edinburgh or any other collaborator to fulfil all or part of its obligations under our agreements, a breakdown in collaboration between the parties or a complete or partial loss of the relationship would materially harm our business.</w:t>
      </w:r>
    </w:p>
    <w:p>
      <w:pPr>
        <w:spacing w:after="0" w:line="129"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successfully implement our plans and strategies, we will need to grow the size of our organization and we may experience difficulties in managing this growth.</w:t>
      </w:r>
    </w:p>
    <w:p>
      <w:pPr>
        <w:spacing w:after="0" w:line="107" w:lineRule="exact"/>
        <w:rPr>
          <w:rFonts w:ascii="Times New Roman" w:cs="Times New Roman" w:eastAsia="Times New Roman" w:hAnsi="Times New Roman"/>
          <w:sz w:val="18"/>
          <w:szCs w:val="18"/>
          <w:color w:val="auto"/>
        </w:rPr>
      </w:pPr>
    </w:p>
    <w:p>
      <w:pPr>
        <w:ind w:left="66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processes of the U.S. Food and Drug Administration and other comparable foreign regulatory authorities are lengthy, time-consuming and inherently unpredictable. If we are not able to obtain, or if there are delays in obtaining, required regulatory approvals for our product candidates, we will not be able to commercialize, or will be delayed in commercializing, such product candidates, and our ability to generate revenue will be materially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1200"/>
          </w:cols>
          <w:pgMar w:left="320" w:top="121"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right="1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gene therapy is novel and the regulatory landscape that governs any product candidates we may develop is rigorous, complex, uncertain and subject to change, we cannot predict the time and cost of obtaining regulatory approval, if received at all, for any product candidate we may develop.</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common stock may continue to be volatile.</w:t>
      </w:r>
    </w:p>
    <w:p>
      <w:pPr>
        <w:spacing w:after="0" w:line="171"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allocate resources to fulfilling the requirements of the Contingent Value Rights Agreement entered into in connection with the Reverse Merger (as defined below) related to certain legacy lease obligations, which may take away from our core programs and create a distraction for our management and employees.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a substantial number of shares of our stock could cause our stock price to decline.</w:t>
      </w:r>
    </w:p>
    <w:p>
      <w:pPr>
        <w:spacing w:after="0" w:line="171"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directors and principal stockholders have the ability to control or significantly influence all matters submitted to our stockholders for approval.</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71" w:lineRule="exact"/>
        <w:rPr>
          <w:rFonts w:ascii="Times New Roman" w:cs="Times New Roman" w:eastAsia="Times New Roman" w:hAnsi="Times New Roman"/>
          <w:sz w:val="18"/>
          <w:szCs w:val="18"/>
          <w:color w:val="auto"/>
        </w:rPr>
      </w:pPr>
    </w:p>
    <w:p>
      <w:pPr>
        <w:ind w:left="660" w:right="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discussed in the section titled “Risk Factors” in this prospectus supplement, the accompanying prospectus and the risk factors and cautionary statements described in other documents that we file from time to time with the SEC, specifically under “Risk Factors” and elsewhere in our most recent Annual Report on Form 10-K (our “Annual Report”) and subsequent Quarterly Reports on Form 10-Q (“Quarterly Reports”).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Except as required by law, we assume no obligation to update or revise these forward-looking statements for any reason, even if new information becomes available in the future.</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forward-looking statements in this prospectus supplement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supplement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7265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73" w:lineRule="exact"/>
        <w:rPr>
          <w:sz w:val="20"/>
          <w:szCs w:val="20"/>
          <w:color w:val="auto"/>
        </w:rPr>
      </w:pPr>
    </w:p>
    <w:p>
      <w:pPr>
        <w:ind w:left="68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This summary highlights certain information about us and this offering and selected information contained elsewhere in or incorporated by reference into this prospectus supplement and the accompanying prospectus. This summary is not complete and does not contain all of the information that you should consider before deciding whether to invest in our securities. For a more complete understanding of our company and this offering, we encourage you to read and consider carefully the more detailed information in this prospectus supplement and the accompanying prospectus, including the information </w:t>
      </w:r>
      <w:r>
        <w:rPr>
          <w:rFonts w:ascii="Times New Roman" w:cs="Times New Roman" w:eastAsia="Times New Roman" w:hAnsi="Times New Roman"/>
          <w:sz w:val="18"/>
          <w:szCs w:val="18"/>
          <w:color w:val="auto"/>
        </w:rPr>
        <w:t>incorporated</w:t>
      </w:r>
      <w:r>
        <w:rPr>
          <w:rFonts w:ascii="Times New Roman" w:cs="Times New Roman" w:eastAsia="Times New Roman" w:hAnsi="Times New Roman"/>
          <w:sz w:val="18"/>
          <w:szCs w:val="18"/>
          <w:i w:val="1"/>
          <w:iCs w:val="1"/>
          <w:color w:val="auto"/>
        </w:rPr>
        <w:t xml:space="preserve"> by reference into this prospectus supplement and the accompanying prospectus, and the information included in any free writing prospectus that we authorize for use in connection with this offering, including the information contained in and incorporated by reference under the heading “Risk Factors” beginning on page </w:t>
      </w:r>
      <w:r>
        <w:rPr>
          <w:rFonts w:ascii="Times New Roman" w:cs="Times New Roman" w:eastAsia="Times New Roman" w:hAnsi="Times New Roman"/>
          <w:sz w:val="18"/>
          <w:szCs w:val="18"/>
          <w:u w:val="single" w:color="auto"/>
          <w:color w:val="0000FF"/>
        </w:rPr>
        <w:t>S-8</w:t>
      </w:r>
      <w:r>
        <w:rPr>
          <w:rFonts w:ascii="Times New Roman" w:cs="Times New Roman" w:eastAsia="Times New Roman" w:hAnsi="Times New Roman"/>
          <w:sz w:val="18"/>
          <w:szCs w:val="18"/>
          <w:i w:val="1"/>
          <w:iCs w:val="1"/>
          <w:color w:val="auto"/>
        </w:rPr>
        <w:t xml:space="preserve"> of this prospectus supplement, and under similar headings in the other documents that are filed after the date hereof and incorporated by reference into this prospectus supplement and the accompanying prospectus.</w:t>
      </w:r>
    </w:p>
    <w:p>
      <w:pPr>
        <w:spacing w:after="0" w:line="13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ind w:left="680"/>
        <w:spacing w:after="0" w:line="243" w:lineRule="auto"/>
        <w:rPr>
          <w:sz w:val="20"/>
          <w:szCs w:val="20"/>
          <w:color w:val="auto"/>
        </w:rPr>
      </w:pPr>
      <w:r>
        <w:rPr>
          <w:rFonts w:ascii="Times New Roman" w:cs="Times New Roman" w:eastAsia="Times New Roman" w:hAnsi="Times New Roman"/>
          <w:sz w:val="18"/>
          <w:szCs w:val="18"/>
          <w:color w:val="auto"/>
        </w:rPr>
        <w:t>We are a clinical-stage biotechnology company committed to overcoming the limitations of conventional gene therapy and turning today’s complex, devastating neurological diseases into treatable conditions. We are building a robust and differentiated product portfolio of genetic medicines for rare neurological diseases with high unmet need not otherwise addressable by conventional gene therapy. One approach we are taking harnesses our proprietary transgene regulation technology, EXACT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(Expression Attenuation via Construct Tuning), that utilizes microRNA-based genetic circuits designed to deliver therapeutic levels of transgene to key areas of the brain that underlie neurological disease pathology.</w:t>
      </w:r>
    </w:p>
    <w:p>
      <w:pPr>
        <w:spacing w:after="0" w:line="142" w:lineRule="exact"/>
        <w:rPr>
          <w:sz w:val="20"/>
          <w:szCs w:val="20"/>
          <w:color w:val="auto"/>
        </w:rPr>
      </w:pPr>
    </w:p>
    <w:p>
      <w:pPr>
        <w:ind w:left="680"/>
        <w:spacing w:after="0" w:line="245" w:lineRule="auto"/>
        <w:rPr>
          <w:sz w:val="20"/>
          <w:szCs w:val="20"/>
          <w:color w:val="auto"/>
        </w:rPr>
      </w:pPr>
      <w:r>
        <w:rPr>
          <w:rFonts w:ascii="Times New Roman" w:cs="Times New Roman" w:eastAsia="Times New Roman" w:hAnsi="Times New Roman"/>
          <w:sz w:val="18"/>
          <w:szCs w:val="18"/>
          <w:color w:val="auto"/>
        </w:rPr>
        <w:t xml:space="preserve">Our first clinical-stage program, NGN-401, is in development for the treatment of Rett syndrome, a severe and progressive neurodevelopmental disease with substantial neurological and physical impairments and significant unmet need. NGN-401 is purposefully designed to utilize the EXACT platform and adeno-associated virus delivery via intracerebroventricular administration, and to deliver the full-length </w:t>
      </w:r>
      <w:r>
        <w:rPr>
          <w:rFonts w:ascii="Times New Roman" w:cs="Times New Roman" w:eastAsia="Times New Roman" w:hAnsi="Times New Roman"/>
          <w:sz w:val="18"/>
          <w:szCs w:val="18"/>
          <w:i w:val="1"/>
          <w:iCs w:val="1"/>
          <w:color w:val="auto"/>
        </w:rPr>
        <w:t>MECP2</w:t>
      </w:r>
      <w:r>
        <w:rPr>
          <w:rFonts w:ascii="Times New Roman" w:cs="Times New Roman" w:eastAsia="Times New Roman" w:hAnsi="Times New Roman"/>
          <w:sz w:val="18"/>
          <w:szCs w:val="18"/>
          <w:color w:val="auto"/>
        </w:rPr>
        <w:t xml:space="preserve"> gene which preserves the complete set of endogenous regulatory elements to restore functional MeCP2 protein. Our ongoing registrational trial of NGN-401, Embolden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is a single-arm, open-label, baseline-controlled trial evaluating the 1E15 vg dose of NGN-401 in females with Rett syndrome. The Embolden trial is designed to evaluate NGN-401 in females ages three and above with potential to support a broad label in a single study and enable an efficient path to market. On June 8, 2026, we announced that we completed dosing in Embolden, with 25 participants receiving the 1E15 vg dose. We completed dosing in a Phase 1/2 open-label, multi-center clinical trial of NGN-401 gene therapy for Rett syndrome, with ten participants receiving the 1E15 vg dose.</w:t>
      </w:r>
    </w:p>
    <w:p>
      <w:pPr>
        <w:spacing w:after="0" w:line="14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ind w:left="680" w:right="340"/>
        <w:spacing w:after="0" w:line="261" w:lineRule="auto"/>
        <w:rPr>
          <w:sz w:val="20"/>
          <w:szCs w:val="20"/>
          <w:color w:val="auto"/>
        </w:rPr>
      </w:pPr>
      <w:r>
        <w:rPr>
          <w:rFonts w:ascii="Times New Roman" w:cs="Times New Roman" w:eastAsia="Times New Roman" w:hAnsi="Times New Roman"/>
          <w:sz w:val="18"/>
          <w:szCs w:val="18"/>
          <w:color w:val="auto"/>
        </w:rPr>
        <w:t>On December 18, 2023, we completed our business combination (the “Reverse Merger”) with Neurogene Inc., a Nevada corporation (“Neurogene OpCo”). In connection with the completion of the Reverse Merger, the Company changed its name from “Neoleukin Therapeutics, Inc.” to “Neurogene Inc.,” and the business conducted by the Company became primarily the business conducted by Neurogene OpCo.</w:t>
      </w:r>
    </w:p>
    <w:p>
      <w:pPr>
        <w:spacing w:after="0" w:line="126" w:lineRule="exact"/>
        <w:rPr>
          <w:sz w:val="20"/>
          <w:szCs w:val="20"/>
          <w:color w:val="auto"/>
        </w:rPr>
      </w:pPr>
    </w:p>
    <w:p>
      <w:pPr>
        <w:jc w:val="both"/>
        <w:ind w:left="680" w:right="20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535 W 24th St., 5th Floor, New York, NY 10011 and our telephone number is (855) 508-3568. Our website is www.neurogene.com. Information contained on or accessible through our website is not a part of this prospectus supplement, and the inclusion of our website address in this prospectus supplement is an inactive textual reference only.</w:t>
      </w:r>
    </w:p>
    <w:p>
      <w:pPr>
        <w:spacing w:after="0" w:line="11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ind w:left="680" w:right="20"/>
        <w:spacing w:after="0" w:line="277" w:lineRule="auto"/>
        <w:rPr>
          <w:sz w:val="20"/>
          <w:szCs w:val="20"/>
          <w:color w:val="auto"/>
        </w:rPr>
      </w:pPr>
      <w:r>
        <w:rPr>
          <w:rFonts w:ascii="Times New Roman" w:cs="Times New Roman" w:eastAsia="Times New Roman" w:hAnsi="Times New Roman"/>
          <w:sz w:val="17"/>
          <w:szCs w:val="17"/>
          <w:color w:val="auto"/>
        </w:rPr>
        <w:t>We are a “smaller reporting company,” meaning that the market value of our common stock held by non-affiliates is less than $700.0 million and our annual revenue is less than $100.0 million during the most recently completed fiscal year. We will continue to be a smaller reporting company so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a smaller reporting company, we may choose to present only the two most</w:t>
      </w:r>
    </w:p>
    <w:p>
      <w:pPr>
        <w:sectPr>
          <w:pgSz w:w="11900" w:h="16838" w:orient="portrait"/>
          <w:cols w:equalWidth="0" w:num="1">
            <w:col w:w="10560"/>
          </w:cols>
          <w:pgMar w:left="32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color w:val="auto"/>
        </w:rPr>
        <w:t>S-4</w:t>
      </w:r>
    </w:p>
    <w:p>
      <w:pPr>
        <w:sectPr>
          <w:pgSz w:w="11900" w:h="16838" w:orient="portrait"/>
          <w:cols w:equalWidth="0" w:num="1">
            <w:col w:w="10560"/>
          </w:cols>
          <w:pgMar w:left="320" w:top="121" w:right="10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1024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1024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159"/>
        <w:spacing w:after="0" w:line="282" w:lineRule="auto"/>
        <w:rPr>
          <w:sz w:val="20"/>
          <w:szCs w:val="20"/>
          <w:color w:val="auto"/>
        </w:rPr>
      </w:pPr>
      <w:r>
        <w:rPr>
          <w:rFonts w:ascii="Times New Roman" w:cs="Times New Roman" w:eastAsia="Times New Roman" w:hAnsi="Times New Roman"/>
          <w:sz w:val="18"/>
          <w:szCs w:val="18"/>
          <w:color w:val="auto"/>
        </w:rPr>
        <w:t>recent fiscal years of audited financial statements in our Annual Report and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139"/>
          </w:cols>
          <w:pgMar w:left="320" w:top="121"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1043"/>
        </w:trPr>
        <w:tc>
          <w:tcPr>
            <w:tcW w:w="3940" w:type="dxa"/>
            <w:vAlign w:val="bottom"/>
            <w:tcBorders>
              <w:top w:val="single" w:sz="8" w:color="auto"/>
              <w:left w:val="single" w:sz="8" w:color="auto"/>
            </w:tcBorders>
          </w:tcPr>
          <w:p>
            <w:pPr>
              <w:spacing w:after="0"/>
              <w:rPr>
                <w:sz w:val="24"/>
                <w:szCs w:val="24"/>
                <w:color w:val="auto"/>
              </w:rPr>
            </w:pPr>
          </w:p>
        </w:tc>
        <w:tc>
          <w:tcPr>
            <w:tcW w:w="7300" w:type="dxa"/>
            <w:vAlign w:val="bottom"/>
            <w:tcBorders>
              <w:top w:val="single" w:sz="8" w:color="auto"/>
              <w:right w:val="single" w:sz="8" w:color="auto"/>
            </w:tcBorders>
            <w:gridSpan w:val="9"/>
          </w:tcPr>
          <w:p>
            <w:pPr>
              <w:ind w:left="10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0" w:type="dxa"/>
            <w:vAlign w:val="bottom"/>
          </w:tcPr>
          <w:p>
            <w:pPr>
              <w:spacing w:after="0"/>
              <w:rPr>
                <w:sz w:val="1"/>
                <w:szCs w:val="1"/>
                <w:color w:val="auto"/>
              </w:rPr>
            </w:pPr>
          </w:p>
        </w:tc>
      </w:tr>
      <w:tr>
        <w:trPr>
          <w:trHeight w:val="419"/>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tc>
        <w:tc>
          <w:tcPr>
            <w:tcW w:w="7300" w:type="dxa"/>
            <w:vAlign w:val="bottom"/>
            <w:tcBorders>
              <w:right w:val="single" w:sz="8" w:color="auto"/>
            </w:tcBorders>
            <w:gridSpan w:val="9"/>
          </w:tcPr>
          <w:p>
            <w:pPr>
              <w:ind w:left="280"/>
              <w:spacing w:after="0"/>
              <w:rPr>
                <w:sz w:val="20"/>
                <w:szCs w:val="20"/>
                <w:color w:val="auto"/>
              </w:rPr>
            </w:pPr>
            <w:r>
              <w:rPr>
                <w:rFonts w:ascii="Times New Roman" w:cs="Times New Roman" w:eastAsia="Times New Roman" w:hAnsi="Times New Roman"/>
                <w:sz w:val="18"/>
                <w:szCs w:val="18"/>
                <w:color w:val="auto"/>
              </w:rPr>
              <w:t>3,500,000 shares.</w:t>
            </w:r>
          </w:p>
        </w:tc>
        <w:tc>
          <w:tcPr>
            <w:tcW w:w="0" w:type="dxa"/>
            <w:vAlign w:val="bottom"/>
          </w:tcPr>
          <w:p>
            <w:pPr>
              <w:spacing w:after="0"/>
              <w:rPr>
                <w:sz w:val="1"/>
                <w:szCs w:val="1"/>
                <w:color w:val="auto"/>
              </w:rPr>
            </w:pPr>
          </w:p>
        </w:tc>
      </w:tr>
      <w:tr>
        <w:trPr>
          <w:trHeight w:val="454"/>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We are also offering, in lieu of common stock to certain investors that so choose, pre-</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funded warrants to purchase 666,666 shares of our common stock. The purchase price</w:t>
            </w:r>
          </w:p>
        </w:tc>
        <w:tc>
          <w:tcPr>
            <w:tcW w:w="0" w:type="dxa"/>
            <w:vAlign w:val="bottom"/>
          </w:tcPr>
          <w:p>
            <w:pPr>
              <w:spacing w:after="0"/>
              <w:rPr>
                <w:sz w:val="1"/>
                <w:szCs w:val="1"/>
                <w:color w:val="auto"/>
              </w:rPr>
            </w:pPr>
          </w:p>
        </w:tc>
      </w:tr>
      <w:tr>
        <w:trPr>
          <w:trHeight w:val="175"/>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of each pre-funded warrant equals the price per share at which the shares of our</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common stock are being sold to the public in this offering, minus $0.000001 per share</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of common stock, which is the exercise price of each pre-funded warrant. Each pre-</w:t>
            </w:r>
          </w:p>
        </w:tc>
        <w:tc>
          <w:tcPr>
            <w:tcW w:w="0" w:type="dxa"/>
            <w:vAlign w:val="bottom"/>
          </w:tcPr>
          <w:p>
            <w:pPr>
              <w:spacing w:after="0"/>
              <w:rPr>
                <w:sz w:val="1"/>
                <w:szCs w:val="1"/>
                <w:color w:val="auto"/>
              </w:rPr>
            </w:pPr>
          </w:p>
        </w:tc>
      </w:tr>
      <w:tr>
        <w:trPr>
          <w:trHeight w:val="175"/>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funded warrant will be exercisable at any time after the date of issuance of such pre-</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funded warrant, subject to an ownership limitation. See the section titled “Description of</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Securities” for additional information. This prospectus supplement also relates to the</w:t>
            </w:r>
          </w:p>
        </w:tc>
        <w:tc>
          <w:tcPr>
            <w:tcW w:w="0" w:type="dxa"/>
            <w:vAlign w:val="bottom"/>
          </w:tcPr>
          <w:p>
            <w:pPr>
              <w:spacing w:after="0"/>
              <w:rPr>
                <w:sz w:val="1"/>
                <w:szCs w:val="1"/>
                <w:color w:val="auto"/>
              </w:rPr>
            </w:pPr>
          </w:p>
        </w:tc>
      </w:tr>
      <w:tr>
        <w:trPr>
          <w:trHeight w:val="175"/>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offering of the shares of our common stock issuable upon exercise of the pre-funded</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warrants.</w:t>
            </w:r>
          </w:p>
        </w:tc>
        <w:tc>
          <w:tcPr>
            <w:tcW w:w="0" w:type="dxa"/>
            <w:vAlign w:val="bottom"/>
          </w:tcPr>
          <w:p>
            <w:pPr>
              <w:spacing w:after="0"/>
              <w:rPr>
                <w:sz w:val="1"/>
                <w:szCs w:val="1"/>
                <w:color w:val="auto"/>
              </w:rPr>
            </w:pPr>
          </w:p>
        </w:tc>
      </w:tr>
      <w:tr>
        <w:trPr>
          <w:trHeight w:val="445"/>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 of</w:t>
            </w: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The underwriters have a 30-day option to purchase up to 624,999 additional shares of</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ind w:left="700"/>
              <w:spacing w:after="0" w:line="184" w:lineRule="exact"/>
              <w:rPr>
                <w:sz w:val="20"/>
                <w:szCs w:val="20"/>
                <w:color w:val="auto"/>
              </w:rPr>
            </w:pPr>
            <w:r>
              <w:rPr>
                <w:rFonts w:ascii="Times New Roman" w:cs="Times New Roman" w:eastAsia="Times New Roman" w:hAnsi="Times New Roman"/>
                <w:sz w:val="18"/>
                <w:szCs w:val="18"/>
                <w:b w:val="1"/>
                <w:bCs w:val="1"/>
                <w:color w:val="auto"/>
              </w:rPr>
              <w:t>common stock</w:t>
            </w: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our common stock at the public offering price, less underwriting discounts and</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commissions.</w:t>
            </w:r>
          </w:p>
        </w:tc>
        <w:tc>
          <w:tcPr>
            <w:tcW w:w="0" w:type="dxa"/>
            <w:vAlign w:val="bottom"/>
          </w:tcPr>
          <w:p>
            <w:pPr>
              <w:spacing w:after="0"/>
              <w:rPr>
                <w:sz w:val="1"/>
                <w:szCs w:val="1"/>
                <w:color w:val="auto"/>
              </w:rPr>
            </w:pPr>
          </w:p>
        </w:tc>
      </w:tr>
      <w:tr>
        <w:trPr>
          <w:trHeight w:val="445"/>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Total common stock to be outstanding</w:t>
            </w: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19,115,786 shares, or 19,740,785 shares if the underwriters exercise their option to</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ind w:left="700"/>
              <w:spacing w:after="0" w:line="184" w:lineRule="exact"/>
              <w:rPr>
                <w:sz w:val="20"/>
                <w:szCs w:val="20"/>
                <w:color w:val="auto"/>
              </w:rPr>
            </w:pPr>
            <w:r>
              <w:rPr>
                <w:rFonts w:ascii="Times New Roman" w:cs="Times New Roman" w:eastAsia="Times New Roman" w:hAnsi="Times New Roman"/>
                <w:sz w:val="18"/>
                <w:szCs w:val="18"/>
                <w:b w:val="1"/>
                <w:bCs w:val="1"/>
                <w:color w:val="auto"/>
              </w:rPr>
              <w:t>immediately after this offering</w:t>
            </w: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purchase additional shares of our common stock in full, assuming no exercise of the</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pre-funded warrants offered and sold in this offering.</w:t>
            </w:r>
          </w:p>
        </w:tc>
        <w:tc>
          <w:tcPr>
            <w:tcW w:w="0" w:type="dxa"/>
            <w:vAlign w:val="bottom"/>
          </w:tcPr>
          <w:p>
            <w:pPr>
              <w:spacing w:after="0"/>
              <w:rPr>
                <w:sz w:val="1"/>
                <w:szCs w:val="1"/>
                <w:color w:val="auto"/>
              </w:rPr>
            </w:pPr>
          </w:p>
        </w:tc>
      </w:tr>
      <w:tr>
        <w:trPr>
          <w:trHeight w:val="449"/>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We estimate that our net proceeds from this offering will be approximately $117.2</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million (or approximately $134.8 million if the underwriters exercise in full their option</w:t>
            </w:r>
          </w:p>
        </w:tc>
        <w:tc>
          <w:tcPr>
            <w:tcW w:w="0" w:type="dxa"/>
            <w:vAlign w:val="bottom"/>
          </w:tcPr>
          <w:p>
            <w:pPr>
              <w:spacing w:after="0"/>
              <w:rPr>
                <w:sz w:val="1"/>
                <w:szCs w:val="1"/>
                <w:color w:val="auto"/>
              </w:rPr>
            </w:pPr>
          </w:p>
        </w:tc>
      </w:tr>
      <w:tr>
        <w:trPr>
          <w:trHeight w:val="175"/>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76" w:lineRule="exact"/>
              <w:rPr>
                <w:sz w:val="20"/>
                <w:szCs w:val="20"/>
                <w:color w:val="auto"/>
              </w:rPr>
            </w:pPr>
            <w:r>
              <w:rPr>
                <w:rFonts w:ascii="Times New Roman" w:cs="Times New Roman" w:eastAsia="Times New Roman" w:hAnsi="Times New Roman"/>
                <w:sz w:val="18"/>
                <w:szCs w:val="18"/>
                <w:color w:val="auto"/>
              </w:rPr>
              <w:t>to purchase additional shares of our common stock), based on the public offering price</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of $30.00 per share, after deducting the estimated underwriting discounts and</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commissions and estimated offering expenses payable by us.</w:t>
            </w:r>
          </w:p>
        </w:tc>
        <w:tc>
          <w:tcPr>
            <w:tcW w:w="0" w:type="dxa"/>
            <w:vAlign w:val="bottom"/>
          </w:tcPr>
          <w:p>
            <w:pPr>
              <w:spacing w:after="0"/>
              <w:rPr>
                <w:sz w:val="1"/>
                <w:szCs w:val="1"/>
                <w:color w:val="auto"/>
              </w:rPr>
            </w:pPr>
          </w:p>
        </w:tc>
      </w:tr>
      <w:tr>
        <w:trPr>
          <w:trHeight w:val="283"/>
        </w:trPr>
        <w:tc>
          <w:tcPr>
            <w:tcW w:w="3940" w:type="dxa"/>
            <w:vAlign w:val="bottom"/>
            <w:tcBorders>
              <w:left w:val="single" w:sz="8" w:color="auto"/>
            </w:tcBorders>
          </w:tcPr>
          <w:p>
            <w:pPr>
              <w:spacing w:after="0"/>
              <w:rPr>
                <w:sz w:val="24"/>
                <w:szCs w:val="24"/>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We intend to use the net proceeds of this offering, together with our existing cash, cash</w:t>
            </w: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equivalents and short-term investments, to fund the ongoing clinical development of</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NGN-401, pre-commercial activities for NGN-401 and for working capital and other</w:t>
            </w:r>
          </w:p>
        </w:tc>
        <w:tc>
          <w:tcPr>
            <w:tcW w:w="0" w:type="dxa"/>
            <w:vAlign w:val="bottom"/>
          </w:tcPr>
          <w:p>
            <w:pPr>
              <w:spacing w:after="0"/>
              <w:rPr>
                <w:sz w:val="1"/>
                <w:szCs w:val="1"/>
                <w:color w:val="auto"/>
              </w:rPr>
            </w:pPr>
          </w:p>
        </w:tc>
      </w:tr>
      <w:tr>
        <w:trPr>
          <w:trHeight w:val="189"/>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9" w:lineRule="exact"/>
              <w:rPr>
                <w:sz w:val="20"/>
                <w:szCs w:val="20"/>
                <w:color w:val="auto"/>
              </w:rPr>
            </w:pPr>
            <w:r>
              <w:rPr>
                <w:rFonts w:ascii="Times New Roman" w:cs="Times New Roman" w:eastAsia="Times New Roman" w:hAnsi="Times New Roman"/>
                <w:sz w:val="18"/>
                <w:szCs w:val="18"/>
                <w:color w:val="auto"/>
              </w:rPr>
              <w:t>general corporate purposes. See “</w:t>
            </w:r>
            <w:r>
              <w:rPr>
                <w:rFonts w:ascii="Times New Roman" w:cs="Times New Roman" w:eastAsia="Times New Roman" w:hAnsi="Times New Roman"/>
                <w:sz w:val="18"/>
                <w:szCs w:val="18"/>
                <w:color w:val="0000FF"/>
              </w:rPr>
              <w:t>Use of Proceeds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S-11</w:t>
            </w:r>
            <w:r>
              <w:rPr>
                <w:rFonts w:ascii="Times New Roman" w:cs="Times New Roman" w:eastAsia="Times New Roman" w:hAnsi="Times New Roman"/>
                <w:sz w:val="18"/>
                <w:szCs w:val="18"/>
                <w:color w:val="auto"/>
              </w:rPr>
              <w:t xml:space="preserve"> of this prospectus</w:t>
            </w:r>
          </w:p>
        </w:tc>
        <w:tc>
          <w:tcPr>
            <w:tcW w:w="0" w:type="dxa"/>
            <w:vAlign w:val="bottom"/>
          </w:tcPr>
          <w:p>
            <w:pPr>
              <w:spacing w:after="0"/>
              <w:rPr>
                <w:sz w:val="1"/>
                <w:szCs w:val="1"/>
                <w:color w:val="auto"/>
              </w:rPr>
            </w:pPr>
          </w:p>
        </w:tc>
      </w:tr>
      <w:tr>
        <w:trPr>
          <w:trHeight w:val="214"/>
        </w:trPr>
        <w:tc>
          <w:tcPr>
            <w:tcW w:w="3940" w:type="dxa"/>
            <w:vAlign w:val="bottom"/>
            <w:tcBorders>
              <w:left w:val="single" w:sz="8" w:color="auto"/>
            </w:tcBorders>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2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supplement.</w:t>
            </w:r>
          </w:p>
        </w:tc>
        <w:tc>
          <w:tcPr>
            <w:tcW w:w="1180" w:type="dxa"/>
            <w:vAlign w:val="bottom"/>
            <w:tcBorders>
              <w:top w:val="single" w:sz="8" w:color="0000FF"/>
            </w:tcBorders>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36"/>
        </w:trPr>
        <w:tc>
          <w:tcPr>
            <w:tcW w:w="3940" w:type="dxa"/>
            <w:vAlign w:val="bottom"/>
            <w:tcBorders>
              <w:left w:val="single" w:sz="8" w:color="auto"/>
            </w:tcBorders>
            <w:vMerge w:val="continue"/>
          </w:tcPr>
          <w:p>
            <w:pPr>
              <w:spacing w:after="0"/>
              <w:rPr>
                <w:sz w:val="24"/>
                <w:szCs w:val="24"/>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Investing in our common stock involves a high degree of risk. See the information</w:t>
            </w:r>
          </w:p>
        </w:tc>
        <w:tc>
          <w:tcPr>
            <w:tcW w:w="0" w:type="dxa"/>
            <w:vAlign w:val="bottom"/>
          </w:tcPr>
          <w:p>
            <w:pPr>
              <w:spacing w:after="0"/>
              <w:rPr>
                <w:sz w:val="1"/>
                <w:szCs w:val="1"/>
                <w:color w:val="auto"/>
              </w:rPr>
            </w:pPr>
          </w:p>
        </w:tc>
      </w:tr>
      <w:tr>
        <w:trPr>
          <w:trHeight w:val="19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94" w:lineRule="exact"/>
              <w:rPr>
                <w:sz w:val="20"/>
                <w:szCs w:val="20"/>
                <w:color w:val="auto"/>
              </w:rPr>
            </w:pPr>
            <w:r>
              <w:rPr>
                <w:rFonts w:ascii="Times New Roman" w:cs="Times New Roman" w:eastAsia="Times New Roman" w:hAnsi="Times New Roman"/>
                <w:sz w:val="18"/>
                <w:szCs w:val="18"/>
                <w:color w:val="auto"/>
              </w:rPr>
              <w:t>contained in or incorporated by reference under the heading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 xml:space="preserve">” on page </w:t>
            </w:r>
            <w:r>
              <w:rPr>
                <w:rFonts w:ascii="Times New Roman" w:cs="Times New Roman" w:eastAsia="Times New Roman" w:hAnsi="Times New Roman"/>
                <w:sz w:val="18"/>
                <w:szCs w:val="18"/>
                <w:color w:val="0000FF"/>
              </w:rPr>
              <w:t>S-8</w:t>
            </w:r>
          </w:p>
        </w:tc>
        <w:tc>
          <w:tcPr>
            <w:tcW w:w="0" w:type="dxa"/>
            <w:vAlign w:val="bottom"/>
          </w:tcPr>
          <w:p>
            <w:pPr>
              <w:spacing w:after="0"/>
              <w:rPr>
                <w:sz w:val="1"/>
                <w:szCs w:val="1"/>
                <w:color w:val="auto"/>
              </w:rPr>
            </w:pPr>
          </w:p>
        </w:tc>
      </w:tr>
      <w:tr>
        <w:trPr>
          <w:trHeight w:val="142"/>
        </w:trPr>
        <w:tc>
          <w:tcPr>
            <w:tcW w:w="3940" w:type="dxa"/>
            <w:vAlign w:val="bottom"/>
            <w:tcBorders>
              <w:left w:val="single" w:sz="8" w:color="auto"/>
            </w:tcBorders>
          </w:tcPr>
          <w:p>
            <w:pPr>
              <w:spacing w:after="0"/>
              <w:rPr>
                <w:sz w:val="12"/>
                <w:szCs w:val="12"/>
                <w:color w:val="auto"/>
              </w:rPr>
            </w:pPr>
          </w:p>
        </w:tc>
        <w:tc>
          <w:tcPr>
            <w:tcW w:w="4660" w:type="dxa"/>
            <w:vAlign w:val="bottom"/>
            <w:gridSpan w:val="4"/>
          </w:tcPr>
          <w:p>
            <w:pPr>
              <w:ind w:left="240"/>
              <w:spacing w:after="0" w:line="142" w:lineRule="exact"/>
              <w:rPr>
                <w:sz w:val="20"/>
                <w:szCs w:val="20"/>
                <w:color w:val="auto"/>
              </w:rPr>
            </w:pPr>
            <w:r>
              <w:rPr>
                <w:rFonts w:ascii="Times New Roman" w:cs="Times New Roman" w:eastAsia="Times New Roman" w:hAnsi="Times New Roman"/>
                <w:sz w:val="16"/>
                <w:szCs w:val="16"/>
                <w:color w:val="auto"/>
              </w:rPr>
              <w:t>of this prospectus supplement, in the accompanying prospectus</w:t>
            </w:r>
          </w:p>
        </w:tc>
        <w:tc>
          <w:tcPr>
            <w:tcW w:w="920" w:type="dxa"/>
            <w:vAlign w:val="bottom"/>
            <w:tcBorders>
              <w:top w:val="single" w:sz="8" w:color="0000FF"/>
            </w:tcBorders>
            <w:gridSpan w:val="2"/>
          </w:tcPr>
          <w:p>
            <w:pPr>
              <w:ind w:left="160"/>
              <w:spacing w:after="0" w:line="142" w:lineRule="exact"/>
              <w:rPr>
                <w:sz w:val="20"/>
                <w:szCs w:val="20"/>
                <w:color w:val="auto"/>
              </w:rPr>
            </w:pPr>
            <w:r>
              <w:rPr>
                <w:rFonts w:ascii="Times New Roman" w:cs="Times New Roman" w:eastAsia="Times New Roman" w:hAnsi="Times New Roman"/>
                <w:sz w:val="16"/>
                <w:szCs w:val="16"/>
                <w:color w:val="auto"/>
              </w:rPr>
              <w:t>and in the</w:t>
            </w:r>
          </w:p>
        </w:tc>
        <w:tc>
          <w:tcPr>
            <w:tcW w:w="72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documents</w:t>
            </w:r>
          </w:p>
        </w:tc>
        <w:tc>
          <w:tcPr>
            <w:tcW w:w="260" w:type="dxa"/>
            <w:vAlign w:val="bottom"/>
            <w:tcBorders>
              <w:top w:val="single" w:sz="8" w:color="0000FF"/>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3940" w:type="dxa"/>
            <w:vAlign w:val="bottom"/>
            <w:tcBorders>
              <w:left w:val="single" w:sz="8" w:color="auto"/>
            </w:tcBorders>
          </w:tcPr>
          <w:p>
            <w:pPr>
              <w:spacing w:after="0"/>
              <w:rPr>
                <w:sz w:val="16"/>
                <w:szCs w:val="16"/>
                <w:color w:val="auto"/>
              </w:rPr>
            </w:pPr>
          </w:p>
        </w:tc>
        <w:tc>
          <w:tcPr>
            <w:tcW w:w="7300" w:type="dxa"/>
            <w:vAlign w:val="bottom"/>
            <w:tcBorders>
              <w:right w:val="single" w:sz="8" w:color="auto"/>
            </w:tcBorders>
            <w:gridSpan w:val="9"/>
          </w:tcPr>
          <w:p>
            <w:pPr>
              <w:ind w:left="240"/>
              <w:spacing w:after="0" w:line="184" w:lineRule="exact"/>
              <w:rPr>
                <w:sz w:val="20"/>
                <w:szCs w:val="20"/>
                <w:color w:val="auto"/>
              </w:rPr>
            </w:pPr>
            <w:r>
              <w:rPr>
                <w:rFonts w:ascii="Times New Roman" w:cs="Times New Roman" w:eastAsia="Times New Roman" w:hAnsi="Times New Roman"/>
                <w:sz w:val="18"/>
                <w:szCs w:val="18"/>
                <w:color w:val="auto"/>
              </w:rPr>
              <w:t>incorporated by reference into this prospectus supplement and any free writing</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prospectus that we authorize for use in connection with this offering.</w:t>
            </w:r>
          </w:p>
        </w:tc>
        <w:tc>
          <w:tcPr>
            <w:tcW w:w="0" w:type="dxa"/>
            <w:vAlign w:val="bottom"/>
          </w:tcPr>
          <w:p>
            <w:pPr>
              <w:spacing w:after="0"/>
              <w:rPr>
                <w:sz w:val="1"/>
                <w:szCs w:val="1"/>
                <w:color w:val="auto"/>
              </w:rPr>
            </w:pPr>
          </w:p>
        </w:tc>
      </w:tr>
      <w:tr>
        <w:trPr>
          <w:trHeight w:val="454"/>
        </w:trPr>
        <w:tc>
          <w:tcPr>
            <w:tcW w:w="394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b w:val="1"/>
                <w:bCs w:val="1"/>
                <w:color w:val="auto"/>
              </w:rPr>
              <w:t>Nasdaq symbol</w:t>
            </w: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“NGNE.” There is no established public trading market for the pre-funded warrants, and</w:t>
            </w:r>
          </w:p>
        </w:tc>
        <w:tc>
          <w:tcPr>
            <w:tcW w:w="0" w:type="dxa"/>
            <w:vAlign w:val="bottom"/>
          </w:tcPr>
          <w:p>
            <w:pPr>
              <w:spacing w:after="0"/>
              <w:rPr>
                <w:sz w:val="1"/>
                <w:szCs w:val="1"/>
                <w:color w:val="auto"/>
              </w:rPr>
            </w:pPr>
          </w:p>
        </w:tc>
      </w:tr>
      <w:tr>
        <w:trPr>
          <w:trHeight w:val="180"/>
        </w:trPr>
        <w:tc>
          <w:tcPr>
            <w:tcW w:w="3940" w:type="dxa"/>
            <w:vAlign w:val="bottom"/>
            <w:tcBorders>
              <w:left w:val="single" w:sz="8" w:color="auto"/>
            </w:tcBorders>
          </w:tcPr>
          <w:p>
            <w:pPr>
              <w:spacing w:after="0"/>
              <w:rPr>
                <w:sz w:val="15"/>
                <w:szCs w:val="15"/>
                <w:color w:val="auto"/>
              </w:rPr>
            </w:pPr>
          </w:p>
        </w:tc>
        <w:tc>
          <w:tcPr>
            <w:tcW w:w="7300" w:type="dxa"/>
            <w:vAlign w:val="bottom"/>
            <w:tcBorders>
              <w:right w:val="single" w:sz="8" w:color="auto"/>
            </w:tcBorders>
            <w:gridSpan w:val="9"/>
          </w:tcPr>
          <w:p>
            <w:pPr>
              <w:ind w:left="240"/>
              <w:spacing w:after="0" w:line="181" w:lineRule="exact"/>
              <w:rPr>
                <w:sz w:val="20"/>
                <w:szCs w:val="20"/>
                <w:color w:val="auto"/>
              </w:rPr>
            </w:pPr>
            <w:r>
              <w:rPr>
                <w:rFonts w:ascii="Times New Roman" w:cs="Times New Roman" w:eastAsia="Times New Roman" w:hAnsi="Times New Roman"/>
                <w:sz w:val="18"/>
                <w:szCs w:val="18"/>
                <w:color w:val="auto"/>
              </w:rPr>
              <w:t>we do not intend to apply for listing of the pre-funded warrants on Nasdaq or any</w:t>
            </w:r>
          </w:p>
        </w:tc>
        <w:tc>
          <w:tcPr>
            <w:tcW w:w="0" w:type="dxa"/>
            <w:vAlign w:val="bottom"/>
          </w:tcPr>
          <w:p>
            <w:pPr>
              <w:spacing w:after="0"/>
              <w:rPr>
                <w:sz w:val="1"/>
                <w:szCs w:val="1"/>
                <w:color w:val="auto"/>
              </w:rPr>
            </w:pPr>
          </w:p>
        </w:tc>
      </w:tr>
      <w:tr>
        <w:trPr>
          <w:trHeight w:val="234"/>
        </w:trPr>
        <w:tc>
          <w:tcPr>
            <w:tcW w:w="3940" w:type="dxa"/>
            <w:vAlign w:val="bottom"/>
            <w:tcBorders>
              <w:left w:val="single" w:sz="8" w:color="auto"/>
            </w:tcBorders>
          </w:tcPr>
          <w:p>
            <w:pPr>
              <w:spacing w:after="0"/>
              <w:rPr>
                <w:sz w:val="20"/>
                <w:szCs w:val="20"/>
                <w:color w:val="auto"/>
              </w:rPr>
            </w:pPr>
          </w:p>
        </w:tc>
        <w:tc>
          <w:tcPr>
            <w:tcW w:w="7300" w:type="dxa"/>
            <w:vAlign w:val="bottom"/>
            <w:tcBorders>
              <w:right w:val="single" w:sz="8" w:color="auto"/>
            </w:tcBorders>
            <w:gridSpan w:val="9"/>
          </w:tcPr>
          <w:p>
            <w:pPr>
              <w:ind w:left="240"/>
              <w:spacing w:after="0"/>
              <w:rPr>
                <w:sz w:val="20"/>
                <w:szCs w:val="20"/>
                <w:color w:val="auto"/>
              </w:rPr>
            </w:pPr>
            <w:r>
              <w:rPr>
                <w:rFonts w:ascii="Times New Roman" w:cs="Times New Roman" w:eastAsia="Times New Roman" w:hAnsi="Times New Roman"/>
                <w:sz w:val="18"/>
                <w:szCs w:val="18"/>
                <w:color w:val="auto"/>
              </w:rPr>
              <w:t>securities exchange or nationally recognized trading system.</w:t>
            </w:r>
          </w:p>
        </w:tc>
        <w:tc>
          <w:tcPr>
            <w:tcW w:w="0" w:type="dxa"/>
            <w:vAlign w:val="bottom"/>
          </w:tcPr>
          <w:p>
            <w:pPr>
              <w:spacing w:after="0"/>
              <w:rPr>
                <w:sz w:val="1"/>
                <w:szCs w:val="1"/>
                <w:color w:val="auto"/>
              </w:rPr>
            </w:pPr>
          </w:p>
        </w:tc>
      </w:tr>
      <w:tr>
        <w:trPr>
          <w:trHeight w:val="572"/>
        </w:trPr>
        <w:tc>
          <w:tcPr>
            <w:tcW w:w="3940" w:type="dxa"/>
            <w:vAlign w:val="bottom"/>
            <w:tcBorders>
              <w:left w:val="single" w:sz="8" w:color="auto"/>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803910</wp:posOffset>
            </wp:positionV>
            <wp:extent cx="7136130" cy="6716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6716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80" w:right="380"/>
        <w:spacing w:after="0" w:line="282"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15,615,786 shares of our common stock outstanding as of March 31, 2026 and excludes:</w:t>
      </w:r>
    </w:p>
    <w:p>
      <w:pPr>
        <w:spacing w:after="0" w:line="108" w:lineRule="exact"/>
        <w:rPr>
          <w:sz w:val="20"/>
          <w:szCs w:val="20"/>
          <w:color w:val="auto"/>
        </w:rPr>
      </w:pPr>
    </w:p>
    <w:p>
      <w:pPr>
        <w:ind w:left="1320" w:right="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2,820,038 shares of common stock issuable upon the exercise of outstanding stock options as of March 31, 2026 at a weighted-average exercise price of $22.02 per share;</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296,578 shares of common stock issuable upon the vesting of restricted stock units outstanding as of March 31, 2026;</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252,124 shares of common stock issuable upon the vesting of performance stock units outstanding as of March 31, 2026;</w:t>
      </w:r>
    </w:p>
    <w:p>
      <w:pPr>
        <w:spacing w:after="0" w:line="171" w:lineRule="exact"/>
        <w:rPr>
          <w:rFonts w:ascii="Times New Roman" w:cs="Times New Roman" w:eastAsia="Times New Roman" w:hAnsi="Times New Roman"/>
          <w:sz w:val="18"/>
          <w:szCs w:val="18"/>
          <w:color w:val="auto"/>
        </w:rPr>
      </w:pPr>
    </w:p>
    <w:p>
      <w:pPr>
        <w:ind w:left="1320" w:right="40" w:hanging="322"/>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1,301,337 shares of common stock reserved for issuance pursuant to future equity awards under our 2023 Equity Incentive Plan as of March 31, 2026, as well as any shares reserved pursuant to provisions in this plan that automatically increase the number of shares of our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362,460 shares of common stock reserved for issuance under our 2025 Inducement Plan as of March 31, 2026;</w:t>
      </w:r>
    </w:p>
    <w:p>
      <w:pPr>
        <w:spacing w:after="0" w:line="171" w:lineRule="exact"/>
        <w:rPr>
          <w:rFonts w:ascii="Times New Roman" w:cs="Times New Roman" w:eastAsia="Times New Roman" w:hAnsi="Times New Roman"/>
          <w:sz w:val="18"/>
          <w:szCs w:val="18"/>
          <w:color w:val="auto"/>
        </w:rPr>
      </w:pPr>
    </w:p>
    <w:p>
      <w:pPr>
        <w:ind w:left="1320" w:hanging="322"/>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208,750 shares of our common stock issuable upon the exercise of stock options issued subsequent to March 31, 2026 under our 2025 Inducement Plan at a weighted-average exercise price of $26.02 per share, and subsequent decrease in the number of shares of common stock reserved for issuance under our 2025 Inducement Plan;</w:t>
      </w:r>
    </w:p>
    <w:p>
      <w:pPr>
        <w:spacing w:after="0" w:line="121" w:lineRule="exact"/>
        <w:rPr>
          <w:rFonts w:ascii="Times New Roman" w:cs="Times New Roman" w:eastAsia="Times New Roman" w:hAnsi="Times New Roman"/>
          <w:sz w:val="18"/>
          <w:szCs w:val="18"/>
          <w:color w:val="auto"/>
        </w:rPr>
      </w:pPr>
    </w:p>
    <w:p>
      <w:pPr>
        <w:ind w:left="1320" w:right="60" w:hanging="322"/>
        <w:spacing w:after="0" w:line="26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535,911 shares of common stock reserved for issuance under our 2023 Employee Stock Purchase Plan as of March 31, 2026, as well as any shares reserved pursuant to provisions in this plan that automatically increase the number of shares of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1320" w:right="58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3,959,954 shares of our common stock issuable upon exercise of outstanding pre-funded warrants at an exercise price of $0.000001 per share (which do not expire), as of March 31, 2026; and</w:t>
      </w:r>
    </w:p>
    <w:p>
      <w:pPr>
        <w:spacing w:after="0" w:line="107" w:lineRule="exact"/>
        <w:rPr>
          <w:rFonts w:ascii="Times New Roman" w:cs="Times New Roman" w:eastAsia="Times New Roman" w:hAnsi="Times New Roman"/>
          <w:sz w:val="18"/>
          <w:szCs w:val="18"/>
          <w:color w:val="auto"/>
        </w:rPr>
      </w:pPr>
    </w:p>
    <w:p>
      <w:pPr>
        <w:ind w:left="1320" w:right="40" w:hanging="322"/>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2,832,605 shares of our common stock issuable upon exercise of outstanding pre-funded warrants at an exercise price of $0.001 per share (which do not expire), as of March 31, 2026.</w:t>
      </w:r>
    </w:p>
    <w:p>
      <w:pPr>
        <w:spacing w:after="0" w:line="108"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Except as otherwise indicated, all information in this prospectus supplement assumes:</w:t>
      </w:r>
    </w:p>
    <w:p>
      <w:pPr>
        <w:spacing w:after="0" w:line="171" w:lineRule="exact"/>
        <w:rPr>
          <w:sz w:val="20"/>
          <w:szCs w:val="20"/>
          <w:color w:val="auto"/>
        </w:rPr>
      </w:pPr>
    </w:p>
    <w:p>
      <w:pPr>
        <w:ind w:left="1320" w:right="80" w:hanging="322"/>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outstanding options and no vesting of restricted stock units, performance stock units, or restricted common stock awards after March 31, 2026;</w:t>
      </w:r>
    </w:p>
    <w:p>
      <w:pPr>
        <w:spacing w:after="0" w:line="107"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pre-funded warrants offered and sold in this offering; and</w:t>
      </w:r>
    </w:p>
    <w:p>
      <w:pPr>
        <w:spacing w:after="0" w:line="171" w:lineRule="exact"/>
        <w:rPr>
          <w:rFonts w:ascii="Times New Roman" w:cs="Times New Roman" w:eastAsia="Times New Roman" w:hAnsi="Times New Roman"/>
          <w:sz w:val="18"/>
          <w:szCs w:val="18"/>
          <w:color w:val="auto"/>
        </w:rPr>
      </w:pPr>
    </w:p>
    <w:p>
      <w:pPr>
        <w:ind w:left="1320" w:hanging="322"/>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of our common stock.</w:t>
      </w:r>
    </w:p>
    <w:p>
      <w:pPr>
        <w:spacing w:after="0" w:line="171" w:lineRule="exact"/>
        <w:rPr>
          <w:sz w:val="20"/>
          <w:szCs w:val="20"/>
          <w:color w:val="auto"/>
        </w:rPr>
      </w:pPr>
    </w:p>
    <w:p>
      <w:pPr>
        <w:ind w:left="680" w:right="60"/>
        <w:spacing w:after="0" w:line="254" w:lineRule="auto"/>
        <w:rPr>
          <w:sz w:val="20"/>
          <w:szCs w:val="20"/>
          <w:color w:val="auto"/>
        </w:rPr>
      </w:pPr>
      <w:r>
        <w:rPr>
          <w:rFonts w:ascii="Times New Roman" w:cs="Times New Roman" w:eastAsia="Times New Roman" w:hAnsi="Times New Roman"/>
          <w:sz w:val="18"/>
          <w:szCs w:val="18"/>
          <w:color w:val="auto"/>
        </w:rPr>
        <w:t>In addition, the number of shares of our common stock to be outstanding after this offering as shown above does not include the $119.0 million in shares of common stock that remain available for future sales as of March 31, 2026 under our sales agreement with Leerink Partners LLC, dated as of August 11, 2025 (the “Sales Agreement”), pursuant to which we may offer and sell up to $150.0 million in shares of common stock, from time to time, in “at the market” offerings. Between March 31, 2026 and the date of this prospectus supplement, we have sold 209,529 shares of our common stock under the Sales Agreement. We have agreed not to make any sales under the Sales Agreement until the earlier of (i) the exercise in full by the underwriters of their option to purchase additional shares of our common stock and (ii) 30 calendar days after the date of this prospectus supplement. For more information, see the section titled “Underwriting.”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560"/>
          </w:cols>
          <w:pgMar w:left="320" w:top="12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risks. Before making an investment decision, you should carefully consider the risks and other information we include or incorporate by reference in this prospectus supplement and the accompanying prospectus, and in any free writing prospectus that we have authorized for use in connection with this offering. In particular, you should consider the risk factors described under the heading “Risk Factors” in our Annual Report, as may be revised or supplemented by our subsequent Quarterly Reports or Current Reports on Form 8-K, each of which are on file with the SEC and are incorporated herein by reference, and which may be amended, supplemented or superseded from time to time by other reports we file with the SEC in the future. In addition to those risk factors, there may be additional risks and uncertainties which are not currently known to us or that we currently deem immaterial. Our business, financial condition or results of operations could be materially adversely affected by any of these risks. The occurrence of any of these risks might cause you to lose all or part of your investment in the offered securities.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stock may be volatile, and you could lose all or part of your investment.</w:t>
      </w:r>
    </w:p>
    <w:p>
      <w:pPr>
        <w:spacing w:after="0" w:line="17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has fluctuated, and is likely to continue to fluctuate substantially in response to various factors, some of which are beyond our control, including the factors discussed in this “Risk Factors” section and elsewhere in this prospectus supplement, the accompanying prospectus and the documents incorporated by reference herein. The realization of any of these factors could have a dramatic and adverse impact on the market price of our common stock.</w:t>
      </w:r>
    </w:p>
    <w:p>
      <w:pPr>
        <w:spacing w:after="0" w:line="12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biotechnology and biopharmaceutical companies in particular, have historically been particularly volatile and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If the market price of our common stock does not exceed the price at which you purchase your shares, you may not 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operations.</w:t>
      </w:r>
    </w:p>
    <w:p>
      <w:pPr>
        <w:spacing w:after="0" w:line="131"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or pre-funded warrants in lieu thereof, you will incur immediate and substantial dilution and may experience additional dilution in the future.</w:t>
      </w:r>
    </w:p>
    <w:p>
      <w:pPr>
        <w:spacing w:after="0" w:line="10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You will suffer immediate and substantial dilution with respect to the common stock or the shares of common stock underlying the pre-funded warrants you purchase in this offering. If you purchase common stock (or pre-funded warrants in lieu thereof) in this offering at the public offering price of $30.00 per share (or $29.999999 per pre-funded warrant in lieu thereof), and assuming that the underwriters do not exercise their option to purchase additional shares of common stock in this offering, you will incur immediate and substantial dilution of $11.43 per share, representing the difference between the public offering price of $30.00 per share and our pro forma net tangible book value per share as of March 31, 2026. See the section titled “Dilution” for a more detailed description of the dilution to new investors in this offering. In addition, to the extent that the pre-funded warrants issued in this offering are exercised, stock options are exercised, restricted stock units vest and settle or we raise additional funds by issuing equity securities, you will experience further dilution.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being offered in this offering.</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being offered in this offering, and we do not expect a market to develop. In addition, we do not intend to apply to list these pre-funded warrants on any securities exchange or nationally recognized trading system, including Nasdaq. Without an active market, the liquidity of these pre-funded warrants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purchased in this offering will have no rights as common stockholders until such holders exercise their pre-funded warrants and acquire our common stock.</w:t>
      </w:r>
    </w:p>
    <w:p>
      <w:pPr>
        <w:spacing w:after="0" w:line="1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Until holders of the pre-funded warrants acquire shares of our common stock upon exercise of such pre-funded warrants, the holders will have no rights with respect to the shares of our common stock underlying such pre-funded warrants, such as voting rights or the rights to receive dividends. Upon exercise of the pre-funded warrants, the holders will be entitled to exercise the rights of a common stockholder only as to matters for which the record date occurs after the exercise.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not receive significant additional funds upon the exercise of the pre-funded warrants being offered.</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certain limited circumstances, each pre-funded warrant may be exercised by way of a cashless exercise, meaning that the holder may not pay a cash purchase price upon exercise, but instead would receive upon such exercise the net number of shares of our common stock determined according to the formula set forth in the pre-funded warrant. Accordingly, we may not receive any additional funds upon the cashless exercise of the pre-funded warrants or if the pre-funded warrants altogether are not exercised at all. In addition, the pre-funded warrants have an exercise price of $0.000001 per share of common stock, and as a result we will not receive significant additional funds upon their exercise even if not a cashless exercise.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owners of our common stock may not be permitted to exercise pre-funded warrants that they hold.</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Holders of the pre-funded warrants will not be entitled to exercise any portion of any pre-funded warrant which, upon giving effect to such exercise, would cause the aggregate number of shares of our common stock beneficially owned by the holder (together with its affiliates) to exceed a specified percentage of the number of shares of our common stock outstanding immediately after giving effect to the exercise, as such percentage ownership is determined in accordance with the terms of the pre-funded warrants. As a result, you may not be able to exercise your pre-funded warrants for shares of our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129"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maintain a current and effective registration statement relating to the shares of common stock issuable upon exercise of the pre-funded warrants, holders will only be able to exercise such pre-funded warrants on a “cashless basis.”</w:t>
      </w:r>
    </w:p>
    <w:p>
      <w:pPr>
        <w:spacing w:after="0" w:line="105"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If we do not maintain a current and effective registration statement relating to the shares of common stock issuable upon exercise of the pre-funded warrants at the time that holders wish to exercise such pre-funded warrants, they will only be able to exercise them on a “cashless basis,” provided that an exemption from registration is available. As a result, the number of shares of common stock that holders will receive upon exercise of the pre-funded warrants will be fewer than it would have been had such holder exercised his or her warrant for cash, and holders may be limited in their ability to immediately sell shares upon exercise, subject to volume or other securities law limitations. Further, if an exemption from registration is not available, holders would not be able to exercise on a cashless basis and would only be able to exercise their pre-funded warrants for cash if a current and effective registration statement relating to the shares of common stock issuable upon exercise of the pre-funded warrants is available.</w:t>
      </w:r>
    </w:p>
    <w:p>
      <w:pPr>
        <w:spacing w:after="0" w:line="13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sale of a substantial number of shares of our common stock, including any shares issuable upon exercise of any pre-funded warrants, may cause the price of our common stock to decline.</w:t>
      </w:r>
    </w:p>
    <w:p>
      <w:pPr>
        <w:spacing w:after="0" w:line="1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cannot predict what effect, if any, future sales of our shares in the public market or the availability of shares for sale will have on the market price of our common stock. However, future sales of substantial amounts of our common stock in the public market, including shares issued upon exercise of any pre-funded warrants issued in this offering or option awards or upon settlement of restricted stock units or shares sold pursuant to the Sales Agreement, or the perception that such sales may occur, could adversely affect the market price of our common stock. We also expect that significant additional capital will be needed in the future to continue our planned operations. To raise capital, we may sell common stock, convertible securities, or other equity securities in one or more transactions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prices and in a manner we determine from time to time. These sales, or the perception in the market that the holders of a large number of shares intend to sell shares, could reduce the market price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Participation in this offering by certain of our existing stockholders and their affiliated entities may reduce the public float for our common stock.</w:t>
      </w:r>
    </w:p>
    <w:p>
      <w:pPr>
        <w:spacing w:after="0" w:line="17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any of our existing stockholders and their affiliated entities purchase shares of our common stock in this offering, such purchases would reduce the available public float of our common stock because such purchasers would be restricted from selling such shares during the 60-day period following this offering and thereafter would be subject to volume limitations pursuant to restrictions under applicable securities laws. As a result, any purchase of shares of our common stock by our existing stockholders and their affiliated entities in this offering will reduce the liquidity of our common stock relative to what it would have been had these shares been purchased by investors that were not our stockholders.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broad discretion in the use of the net proceeds from this offering and may not use them effectively.</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from this offering, including for the purposes described in the section titled “Use of Proceeds,” and you will be relying on the judgment of our management regarding the application of these proceeds. You will not have the opportunity, as part of your investment decision, to assess whether the proceeds are being used appropriately. Our management might not apply the proceeds in ways that ultimately increase or maintain the value of your investment. If we do not invest or apply the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200"/>
          </w:cols>
          <w:pgMar w:left="320" w:top="121" w:right="3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$117.2 million (or approximately $134.8 million if the underwriters’ option to purchase additional shares is exercised in full) from the sale of the shares of common stock and pre-funded warrants offered by us in this offering, based on the public offering price of $30.00  per share of common stock and $29.999999 per pre-funded warrant (which equals the price per share at which the shares of our common stock are being sold to the public in this offering, minus $0.000001 per share of common stock), after deducting the estimated underwriting discounts and commissions and estimated offering expenses payable by us, and excluding the proceeds, if any, from the exercise of the pre-funded warrants sold in this offering.</w:t>
      </w:r>
    </w:p>
    <w:p>
      <w:pPr>
        <w:spacing w:after="0" w:line="13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of this offering, together with our existing cash, cash equivalents and short-term investments, to fund the ongoing clinical development of NGN-401, pre-commercial activities for NGN-401 and for working capital and other general corporate purposes.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amounts that we will actually spend on the uses set forth above. We may also use a portion of the proceeds to license, acquire or invest in complementary businesses, technology, products or assets. However, we have no current commitments to do so. The amount and timing of our actual expenditures will depend on numerous factors. As a result, our management will have broad discretion over the use of the proceeds from this offering.</w:t>
      </w:r>
    </w:p>
    <w:p>
      <w:pPr>
        <w:spacing w:after="0" w:line="1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Based on our current operating plan, we estimate that the net proceeds from this offering, together with our existing cash, cash equivalents and short-term investments as of the date of this prospectus supplement, will be sufficient to enable us to fund our operating expenses and capital expenditure requirements into  the third quarter of 2028. We have based this estimate on assumptions that may prove to be incorrect, and we could use our available capital resources sooner than we currently anticipate. Such amount may not be sufficient for us to fund our programs through regulatory approval and commercialization, and we expect to need to raise substantial additional capital in order to do so. To obtain the capital necessary to fund our programs through regulatory approval and commercialization, we may need to enter into additional public or private equity offerings, debt financings, or collaborations and licensing arrangements, or seek out other sources of capital. We also may elect to raise additional capital opportunistically.</w:t>
      </w:r>
    </w:p>
    <w:p>
      <w:pPr>
        <w:spacing w:after="0" w:line="13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Pending the use of the proceeds from this offering, we may invest the proceeds in a variety of capital preservation investments, including interest-bearing, investment-grade securities, certificates of deposit or government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(or pre-funded warrants in lieu thereof), your ownership interest will be immediately diluted to the extent of the difference between the public offering price per share of our common stock (or pre-funded warrant in lieu thereof) and the pro forma net tangible book value per share of common stock immediately after this offering.</w:t>
      </w:r>
    </w:p>
    <w:p>
      <w:pPr>
        <w:spacing w:after="0" w:line="12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historical net tangible book value as of March 31, 2026 was $237.8 million, or $15.23 per share of common stock. Our historical net tangible book value is the amount of our total tangible assets less our total liabilities. Historical net tangible book value per share of common stock represents historical net tangible book value divided by an aggregate of 15,615,786 shares of our common stock outstanding as of March 31, 2026.</w:t>
      </w:r>
    </w:p>
    <w:p>
      <w:pPr>
        <w:spacing w:after="0" w:line="12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After giving effect to our issuance and sale of 3,500,000 shares of our common stock and 666,666 pre-funded warrants in this offering at the public offering price of $30.00 per share and $29.999999 per pre-funded warrant (which equals the price per share at which the shares of our common stock are being sold to the public in this offering, minus $0.000001 per share of common stock), and after deducting the estimated underwriting discounts and commissions and estimated offering expenses payable by us, our pro forma net tangible book value as of March 31, 2026 would have been $355.0 million, or $18.57 per share of common stock. This represents an immediate increase in pro forma net tangible book value per share of $3.34 to existing stockholders and immediate dilution of $11.43 in pro forma net tangible book value per share to new investors purchasing shares of common stock in this offering. Dilution per share to new investors is determined by subtracting pro forma net tangible book value per share of common stock after this offering from the public offering price per share paid by new investors. The following table illustrates this dilution on a per share basis: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600" w:type="dxa"/>
            <w:vAlign w:val="bottom"/>
            <w:shd w:val="clear" w:color="auto" w:fill="CCEEFF"/>
          </w:tcPr>
          <w:p>
            <w:pPr>
              <w:spacing w:after="0"/>
              <w:rPr>
                <w:sz w:val="19"/>
                <w:szCs w:val="19"/>
                <w:color w:val="auto"/>
              </w:rPr>
            </w:pP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2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tangible book value per share as of March 31, 2026</w:t>
            </w: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 forma net tangible book value per share immediately after this offering</w:t>
            </w:r>
          </w:p>
        </w:tc>
        <w:tc>
          <w:tcPr>
            <w:tcW w:w="60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dilution information discussed above assumes no exercise of the pre-funded warrants sold in this offering and is illustrative only. Investors who receive shares of our common stock upon the exercise of the pre-funded warrants offered hereby may experience additional dilution depending on our net tangible book value at the time of exercise.</w:t>
      </w:r>
    </w:p>
    <w:p>
      <w:pPr>
        <w:spacing w:after="0" w:line="12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If the underwriters exercise in full their option to purchase additional shares, our pro forma net tangible book value per share after this offering would be $18.87, representing an immediate increase in pro forma net tangible book value per share of $3.64 to existing stockholders and immediate dilution in pro forma net tangible book value per share of $11.13 to new investors purchasing shares of common stock in this offering at the public offering price of $30.00 per share, and after deducting the estimated underwriting discounts and commissions and estimated offering expenses payable by us.</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number of our shares of common stock outstanding after this offering is based on an aggregate of 15,615,786 shares of our common stock outstanding as of March 31, 2026, and excludes the following:</w:t>
      </w:r>
    </w:p>
    <w:p>
      <w:pPr>
        <w:spacing w:after="0" w:line="108" w:lineRule="exact"/>
        <w:rPr>
          <w:sz w:val="20"/>
          <w:szCs w:val="20"/>
          <w:color w:val="auto"/>
        </w:rPr>
      </w:pPr>
    </w:p>
    <w:p>
      <w:pPr>
        <w:ind w:left="660" w:right="24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2,820,038 shares of common stock issuable upon the exercise of outstanding stock options as of March 31, 2026 at a weighted-average exercise price of $22.02 per share;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296,578 shares of common stock issuable upon the vesting of restricted stock units outstanding as of March 31,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252,124 shares of common stock issuable upon the vesting of performance stock units outstanding as of March 31,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20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1,301,337 shares of common stock reserved for issuance pursuant to future equity awards under our 2023 Equity Incentive Plan as of March 31, 2026, as well as any shares reserved pursuant to provisions in this plan that automatically increase the number of shares of our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362,460 shares of common stock reserved for issuance under our 2025 Inducement Plan as of March 31, 2026;</w:t>
      </w:r>
    </w:p>
    <w:p>
      <w:pPr>
        <w:spacing w:after="0" w:line="17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208,750 shares of our common stock issuable upon the exercise of stock options issued subsequent to March 31, 2026 under our 2025 Inducement Plan at a weighted-average exercise price of $26.02 per share, and subsequent decrease in the number of shares of common stock reserved for issuance under our 2025 Inducement Plan;</w:t>
      </w:r>
    </w:p>
    <w:p>
      <w:pPr>
        <w:spacing w:after="0" w:line="121"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535,911 shares of common stock reserved for issuance under our 2023 Employee Stock Purchase Plan as of March 31, 2026, as well as any shares reserved pursuant to provisions in this plan that automatically increase the number of shares of common stock reserved for future issuance under this plan;</w:t>
      </w:r>
    </w:p>
    <w:p>
      <w:pPr>
        <w:spacing w:after="0" w:line="12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3,959,954 shares of our common stock issuable upon exercise of outstanding pre-funded warrants at an exercise price of $0.000001 per share (which do not expire), as of March 31, 2026;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2,832,605 shares of our common stock issuable upon exercise of outstanding pre-funded warrants at an exercise price of $0.001 per share (which do not expire), as of March 31, 2026.</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To the extent that options outstanding as of March 31, 2026 have been or are exercised, or other shares or securities convertible into or exercisable for common stock are issued, investors purchasing shares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offering shares of our common stock in this offering. See the section titled “Description of Securities” in the accompanying prospectus for more information regarding our shares of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following is a summary of the material attributes and characteristics of the pre-funded warrants. The form of pre-funded warrant will be provided to the pre-funded warrant purchasers in this offering and will be filed as an exhibit to a Current Report on Form 8-K filed in connection with this offering and incorporated by reference into the registration statement of which this prospectus supplement forms a part. The following summary is subject in all respects to the provisions contained in the pre-funded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Pre-funded warrants will be issued in certificated form only.</w:t>
      </w:r>
    </w:p>
    <w:p>
      <w:pPr>
        <w:spacing w:after="0" w:line="167" w:lineRule="exact"/>
        <w:rPr>
          <w:sz w:val="20"/>
          <w:szCs w:val="20"/>
          <w:color w:val="auto"/>
        </w:rPr>
      </w:pPr>
    </w:p>
    <w:p>
      <w:pPr>
        <w:jc w:val="both"/>
        <w:ind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Duration and Exercise Price. </w:t>
      </w:r>
      <w:r>
        <w:rPr>
          <w:rFonts w:ascii="Times New Roman" w:cs="Times New Roman" w:eastAsia="Times New Roman" w:hAnsi="Times New Roman"/>
          <w:sz w:val="18"/>
          <w:szCs w:val="18"/>
          <w:color w:val="auto"/>
        </w:rPr>
        <w:t>Each pre-funded warrant entitles the holder thereof to purchase shares of our common stock at an exercise price equal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$0.000001 per share. Each pre-funded warrant will be exercisable at any time beginning on the date of issuance. The number of shares of our common stock issuable upon exercise of each pre-funded warrant is subject to adjustment in the event of stock dividends, stock splits, reorganizations or similar events affecting our common stock and the exercise price.</w:t>
      </w:r>
    </w:p>
    <w:p>
      <w:pPr>
        <w:spacing w:after="0" w:line="122" w:lineRule="exact"/>
        <w:rPr>
          <w:sz w:val="20"/>
          <w:szCs w:val="20"/>
          <w:color w:val="auto"/>
        </w:rPr>
      </w:pPr>
    </w:p>
    <w:p>
      <w:pPr>
        <w:jc w:val="both"/>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Exercisability. </w:t>
      </w:r>
      <w:r>
        <w:rPr>
          <w:rFonts w:ascii="Times New Roman" w:cs="Times New Roman" w:eastAsia="Times New Roman" w:hAnsi="Times New Roman"/>
          <w:sz w:val="18"/>
          <w:szCs w:val="18"/>
          <w:color w:val="auto"/>
        </w:rPr>
        <w:t>The holder of the pre-funded warrant may exercise the pre-funded warrant by delivering an exercise notice, completed and duly signed,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 in cash of the exercise price for the number of shares of our common stock for which the pre-funded warrant is being exercised. The holder of the pre-funded warrant may also satisfy its obligation to pay the exercise price through a “cashless exercise,” in which the holder receives the net value of the pre-funded warrant in shares of common stock determined according to the formula set forth in the pre-funded warrant.</w:t>
      </w:r>
    </w:p>
    <w:p>
      <w:pPr>
        <w:spacing w:after="0" w:line="12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Upon a holder’s exercise of the pre-funded warrant, we will issue the shares of common stock to which the holder is entitled pursuant to such exercise within three trading days after the exercise date.</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holder of the pre-funded warrant will not be entitled to exercise any portion of such pre-funded warrant that, upon giving effect to such exercise, would cause the aggregate number of shares of our common stock beneficially owned by such holder (together with its affiliates and any other persons whose beneficial ownership of common stock would be aggregated with the holder for purposes of Section 13(d) of the Exchange Act) to exceed 9.99% (or 4.99% at the election of the holder) of the total number of then issued and outstanding shares of common stock, as such percentage ownership is determined in accordance with the terms of the pre-funded warrant and subject to such holder’s rights under the pre-funded warrant to increase or decrease such percentage to any other percentage not in excess of 19.99% upon at least 61 days’ prior notice from such holder to us.</w:t>
      </w:r>
    </w:p>
    <w:p>
      <w:pPr>
        <w:spacing w:after="0" w:line="129"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Fundamental Transaction. </w:t>
      </w:r>
      <w:r>
        <w:rPr>
          <w:rFonts w:ascii="Times New Roman" w:cs="Times New Roman" w:eastAsia="Times New Roman" w:hAnsi="Times New Roman"/>
          <w:sz w:val="17"/>
          <w:szCs w:val="17"/>
          <w:color w:val="auto"/>
        </w:rPr>
        <w:t>In the event of any fundamental transaction, as described in the pre-funded warrants and generally including any merger with</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or into another entity, sale of all or substantially all of our assets, tender offer or exchange offer, or reclassification of our shares of common stock, then upon any subsequent exercise of a pre-funded warrant, the holder will have the right to receive as alternative consideration, for each share of common stock that would have been issuable upon such exercise immediately prior to the occurrence of such fundamental transaction, the number of shares of common stock of the successor or acquiring corporation of our company, if it is the surviving corporation, and any additional consideration receivable upon or as a result of such transaction by a holder of the number of shares of common stock for which the warrant is exercisable immediately prior to such event.</w:t>
      </w:r>
    </w:p>
    <w:p>
      <w:pPr>
        <w:spacing w:after="0" w:line="11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Transferability. </w:t>
      </w: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us together with the appropriate instruments of transfer and payment of funds sufficient to pay any transfer taxes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Exchange Listing. </w:t>
      </w:r>
      <w:r>
        <w:rPr>
          <w:rFonts w:ascii="Times New Roman" w:cs="Times New Roman" w:eastAsia="Times New Roman" w:hAnsi="Times New Roman"/>
          <w:sz w:val="18"/>
          <w:szCs w:val="18"/>
          <w:color w:val="auto"/>
        </w:rPr>
        <w:t>There is no trading market available for the pre-funded warrants on any securities exchange or nationally recognized trading system.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 not intend to list the pre-funded warrants on Nasdaq or any securities exchange or nationally recognized trading system.</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initially serve as the warrant agent under the pre-funded warrants.</w:t>
      </w:r>
    </w:p>
    <w:p>
      <w:pPr>
        <w:spacing w:after="0" w:line="167"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 as a Stockholder. </w:t>
      </w:r>
      <w:r>
        <w:rPr>
          <w:rFonts w:ascii="Times New Roman" w:cs="Times New Roman" w:eastAsia="Times New Roman" w:hAnsi="Times New Roman"/>
          <w:sz w:val="18"/>
          <w:szCs w:val="18"/>
          <w:color w:val="auto"/>
        </w:rPr>
        <w:t>Except as otherwise provided in the pre-funded warrants or by virtue of such holder’s ownership of shares of our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holders of the pre-funded warrants do not have the rights or privileges of holders of our common stock, including any voting rights, until they exercise their pre-funded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175"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7"/>
          <w:szCs w:val="17"/>
          <w:color w:val="auto"/>
        </w:rPr>
        <w:t>The following discussion is a summary of U.S. federal income tax considerations to U.S. Holders and Non-U.S. Holders (each as defined below) of the ownership and disposition of the common stock and pre-funded warrants issued pursuant to this offering. The discussion does not purport to be a complete analysis of all potential tax considerations. The considerations of other U.S. federal tax laws, such as estate and gift tax laws, and any applicable state, local or non-U.S. tax laws, are not discussed. This discussion is based on the U.S. Internal Revenue Code of 1986, as amended (the “Code”), Treasury Regulations promulgated under the Code,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holder of our common stock or pre-funded warrants. We have not sought and will not seek any rulings from the IRS regarding the matters discussed below. There can be no assurance the IRS or a court will not take a contrary position to that discussed below regarding the tax considerations of the ownership and disposition of our common stock or pre-funded warrants.</w:t>
      </w:r>
    </w:p>
    <w:p>
      <w:pPr>
        <w:spacing w:after="0" w:line="11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This discussion is limited to holders that hold our common stock or pre-funded warrants as a “capital asset” within the meaning of Section 1221 of the Code (generally, property held for investment). This discussion does not address all U.S. federal income tax considerations relevant to such holder’s particular circumstances, including without limitation the alternative minimum tax and the effect of the Medicare contribution tax on net investment income. In addition, it does not address considerations relevant to holders who are subject to special rules, including, without limitation:</w:t>
      </w:r>
    </w:p>
    <w:p>
      <w:pPr>
        <w:spacing w:after="0" w:line="12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or pre-funded warrants as part of a hedge, straddle or other risk-reduction strategy or as part of a conversion transaction or other integrated investment;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or other financial institutions;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or regulated investment companies;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currencies or securities, or other persons that elect to use a mark-to-market method of accounting for their holdings in our common stock or pre-funded warrants;</w:t>
      </w:r>
    </w:p>
    <w:p>
      <w:pPr>
        <w:spacing w:after="0" w:line="107"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10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classified as partnerships or disregarded entities for U.S. federal income tax purposes (and investors therein), S corporations or other passthrough entities (including hybrid entities);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or pre-funded warrants under the constructive sale provisions of the Code;</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or pre-funded warrants pursuant to the exercise of any employee stock option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 our common stock or pre-funded warrants as compensation for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have owned, actually or constructively, more than 5% of our common stock and/or pre-funded warrants;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right="38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 or funds, or an entity that is wholly owned by a pension plan or fund, including “qualified foreign pension funds” as defined in Section 897(l)(2) of the Code and entities all of the interests of which are held by qualified foreign pension funds.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If an entity or arrangement classified as a partnership for U.S. federal income tax purposes holds our common stock or pre-funded warrants, the tax treatment of a partner in the partnership will depend on the status of the partner, the activities of the partnership and certain determinations made at the partner level. Accordingly, each partnership and each partner in such partnership holding our common stock or pre-funded warrants is urged to consult its tax advisor regarding the U.S. federal income tax considerations to it of the ownership and disposition of our common stock or pre-funded warrants.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any person that, for U.S. federal income tax purposes, is or is treated as any of the following:</w:t>
      </w:r>
    </w:p>
    <w:p>
      <w:pPr>
        <w:spacing w:after="0" w:line="171"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71"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in, or organized under the laws of the United States or any state thereof or the District of Columbia;</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(i) is subject to the primary supervision of a U.S. court and the control of one or more “United States persons” (within the meaning of Section 7701(a)(30) of the Code), or (ii) has a valid election in effect to be treated as a U.S. person for U.S. federal income tax purposes.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or pre-funded warrants that is neither a U.S. Holder nor an entity or arrangement treated as a partnership or other entity or arrangement treated as a pass-through entity for U.S. federal income tax purposes.</w:t>
      </w:r>
    </w:p>
    <w:p>
      <w:pPr>
        <w:spacing w:after="0" w:line="10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EACH INVESTOR IS URGED TO CONSULT ITS TAX ADVISOR WITH RESPECT TO THE APPLICATION OF U.S. FEDERAL INCOME TAX LAWS TO ITS PARTICULAR SITUATION AS WELL AS ANY TAX CONSIDERATIONS OF THE OWNERSHIP AND DISPOSITION OF OUR COMMON STOCK OR PRE-FUNDED WARRANTS ARISING UNDER THE U.S. FEDERAL ESTATE OR GIFT TAX LAWS OR UNDER THE LAWS OF ANY STATE, LOCAL OR NON-U.S. TAXING JURISDICTION OR UNDER ANY APPLICABLE INCOME TAX TREATY.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Pre-Funded Warrants</w:t>
      </w:r>
    </w:p>
    <w:p>
      <w:pPr>
        <w:spacing w:after="0" w:line="1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Although it is not entirely free from doubt, because the exercise price of the pre-funded warrants is a nominal amount, the pre-funded warrants are generally expected to be treated as shares of our common stock for U.S. federal income tax purposes (and a holder is expected to be subject to the same tax considerations as if the holder held shares of our common stock as discussed below). Accordingly, no gain or loss should be recognized upon exercise of a pre-funded warrant, and the holding period of the shares of our common stock received upon exercise of a pre-funded warrant should include the holding period of the pre-funded warrant. Similarly, the tax basis of the pre-funded warrant should carry over to the shares of common stock received upon exercise, increased by the exercise price. Each U.S. Holder and Non-U.S. Holder is urged to consult its tax advisor regarding the U.S. federal income tax considerations to it of the ownership and disposition of the pre-funded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Common Stock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 present intention to pay cash dividends on our common stock. However, if we do make distributions of cash or other property on our common stock (other than certain distributions of our common stock), those distributions will generally constitute dividends for U.S. federal income tax purposes to the extent paid from our current or accumulated earnings and profits, as determined under U.S. federal income tax principles.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amount of such distributions exceeds our current and accumulated earnings and profits, such excess will generally constitute a non-taxable return of capital and will first be applied against and reduce, but not below zero, a U.S. Holder’s adjusted tax basis in our common stock. Any excess will be treated as capital gain and will be treated as described below under the subsection titled “Sale or Other Taxable Disposition of Common Stock or Pre-Funded Warrants.”</w:t>
      </w:r>
    </w:p>
    <w:p>
      <w:pPr>
        <w:spacing w:after="0" w:line="12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Dividends paid to a U.S. Holder of our common stock that is a taxable corporation will generally qualify for the dividends received deduction if the requirements relating to the requisite holding period are satisfied. With certain exceptions, and provided certain holding period requirements are met, dividends we pay to a non-corporate U.S. Holder will generally constitute “qualified dividends” that currently are subject to tax at preferential long-term capital gains rates.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Constructive Distributions on Pre-Funded Warrants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Under Section 305 of the Code, an adjustment to (or failure to adjust) the number of shares that will be issued on the exercise of the pre-funded warrants may be treated as a constructive distribution to a U.S. Holder of pre-funded warrants if, and to the extent that, such adjustment (or failure to adjust) has the effect of increasing such U.S. Holder’s proportionate interest in our assets or earnings and profits as determined under U.S. federal income tax law, depending on the circumstances of such adjustment and subject to certain additional requirements. U.S. Holders should consult their tax advisors on the circumstances in which a constructive distribution may be realized, and the tax consequences of any such constructive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Common Stock or Pre-Funded Warrants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Upon a sale, taxable exchange or other taxable disposition of our common stock or pre-funded warrants, a U.S. Holder will generally recognize taxable gain or loss in an amount equal to the difference between (1) the amount realized upon such sale, exchange or disposition and (2) the U.S. Holder’s tax basis in the common stock or pre-funded warrant. Such gain or loss will generally be treated as long-term capital gain or loss if the common stock or pre-funded warrant is held by the U.S. Holder for more than one year at the time of such sale, exchange or disposition.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Information reporting requirements may apply to dividends paid to a U.S. Holder and to the proceeds of the sale, exchange or other taxable disposition of our common stock, unless the U.S. Holder is an exempt recipient (provided that, in the case of dividends paid to such exempt recipient, the exempt recipient is not subject to backup withholding under Section 3406 of the Code). Backup withholding may apply to such payments if the U.S. Holder fails to provide a taxpayer identification number or a certification of exempt status or has been notified by the IRS that it is subject to backup withholding (and such notification has not been withdrawn).</w:t>
      </w:r>
    </w:p>
    <w:p>
      <w:pPr>
        <w:spacing w:after="0" w:line="1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Constructive Distributions) on Common Stock</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have no present intention to pay cash dividends on our common stock. However, if we do make distributions of cash or other property on our common stock (other than certain distributions of our common stock), those distributions will generally constitute dividends for U.S. federal income tax purposes to the extent paid from our current or accumulated earnings and profits, as determined under U.S. federal income tax principles. If the amount of such distributions exceeds our current and accumulated earnings and profits, such excess will generally constitute a non-taxable return of capital and will first be applied against and reduce, but not below zero, a Non-U.S. Holder’s adjusted tax basis in our common stock. Any excess will be treated as capital gain and will be treated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200"/>
          </w:cols>
          <w:pgMar w:left="320" w:top="121" w:right="3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described below under the subsection titled “Sale or Other Taxable Disposition of Common Stock or Pre-Funded Warrants.”</w:t>
      </w:r>
    </w:p>
    <w:p>
      <w:pPr>
        <w:spacing w:after="0" w:line="17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Dividends paid to a Non-U.S. Holder of our common stock that is not effectively connected with such Non-U.S. Holder’s conduct of a trade or business in the United States will generally be subject to U.S. federal withholding tax at a rate of 30% of the gross amount of the dividends (or such lower rate specified by an applicable income tax treaty, provided such Non-U.S. Holder furnishes the applicable withholding agent with documentation required to claim benefits under such tax treaty (generally, a valid IRS Form W-8BEN or W-8BEN-E or a successor form)). These certifications must be provided to the applicable withholding agent prior to the payment of dividends and must be updated periodically. Each Non-U.S. Holder is urged to consult its tax advisor regarding U.S. federal withholding tax on distributions on our common stock, including such Non-U.S. Holder’s eligibility for benefits under any applicable income tax treaties and the availability of a refund on any excess U.S. federal tax withheld.</w:t>
      </w:r>
    </w:p>
    <w:p>
      <w:pPr>
        <w:spacing w:after="0" w:line="135" w:lineRule="exact"/>
        <w:rPr>
          <w:sz w:val="20"/>
          <w:szCs w:val="20"/>
          <w:color w:val="auto"/>
        </w:rPr>
      </w:pPr>
    </w:p>
    <w:p>
      <w:pPr>
        <w:jc w:val="both"/>
        <w:ind w:right="60"/>
        <w:spacing w:after="0" w:line="272" w:lineRule="auto"/>
        <w:rPr>
          <w:sz w:val="20"/>
          <w:szCs w:val="20"/>
          <w:color w:val="auto"/>
        </w:rPr>
      </w:pPr>
      <w:r>
        <w:rPr>
          <w:rFonts w:ascii="Times New Roman" w:cs="Times New Roman" w:eastAsia="Times New Roman" w:hAnsi="Times New Roman"/>
          <w:sz w:val="17"/>
          <w:szCs w:val="17"/>
          <w:color w:val="auto"/>
        </w:rPr>
        <w:t>If dividends paid to a Non-U.S. Holder are effectively connected with such Non-U.S. Holder’s conduct of a trade or business within the United States (and, if required by an applicable income tax treaty, such Non-U.S. Holder maintains a permanent establishment in the United States to which such dividends are attributable), such Non-U.S. Holder will generally be exempt from the U.S. federal withholding tax described above. To claim the exemption, a Non-U.S.</w:t>
      </w:r>
    </w:p>
    <w:p>
      <w:pPr>
        <w:spacing w:after="0" w:line="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Holder must furnish to the applicable withholding agent a valid IRS Form W-8ECI (or a successor form) certifying that the dividends are effectively connected with such Non-U.S. Holder’s conduct of a trade or business within the United States. In general, any such effectively connected dividends will be subject to U.S. federal income tax on a net income basis at the regular rates applicable to a U.S. person, unless a specific treaty exemption applies. A Non-U.S. Holder that is a corporation also may be subject to a branch profits tax at a rate of 30% (or such lower rate specified by an applicable income tax treaty) on such effectively connected dividends, as adjusted for certain items. Each Non-U.S. Holder is urged to consult its tax advisor regarding the U.S. federal income tax considerations of any distributions with respect to our common stock, including any applicable tax treaties that may provide for different rules.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Common Stock or Pre-Funded Warrants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Non-U.S. Holder will generally not be subject to U.S. federal income or withholding tax on any gain realized upon the sale or other taxable disposition of our common stock or pre-funded warrants unless:</w:t>
      </w:r>
    </w:p>
    <w:p>
      <w:pPr>
        <w:spacing w:after="0" w:line="108" w:lineRule="exact"/>
        <w:rPr>
          <w:sz w:val="20"/>
          <w:szCs w:val="20"/>
          <w:color w:val="auto"/>
        </w:rPr>
      </w:pPr>
    </w:p>
    <w:p>
      <w:pPr>
        <w:ind w:left="660" w:right="2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such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21"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Holder is a nonresident alien individual present in the United States for 183 days or more during the taxable year of the disposition and certain other requirements are met; or</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or pre-funded warrants constitute a U.S. real property interest (“USRPI”) by reason of our status as a U.S. real property holding corporation (“USRPHC”) for U.S. federal income tax purposes.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Gain described in the first bullet point above will generally be subject to U.S. federal income tax on a net income basis at the regular rates applicable to U.S. persons, unless a specific treaty exemption applies. A Non-U.S. Holder that is a corporation also may be subject to a “branch profits tax” at a rate of 30% (or such lower rate specified by an applicable income tax treaty) on such effectively connected gain, as adjusted for certain items.</w:t>
      </w:r>
    </w:p>
    <w:p>
      <w:pPr>
        <w:spacing w:after="0" w:line="12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Gain described in the second bullet point above will generally be subject to U.S. federal income tax at a rate of 30% (or such lower rate specified by an applicable income tax treaty), which may be offset by certain U.S.-source capital losses of a Non-U.S. Holder, provided such Non-U.S. Holder has timely filed U.S. federal income tax returns with respect to such losses.</w:t>
      </w:r>
    </w:p>
    <w:p>
      <w:pPr>
        <w:spacing w:after="0" w:line="122"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With respect to the third bullet point above, we believe we currently are not, and we do not anticipate becoming, a USRPHC. However, we cannot assure you that we will not become a USRPHC. Even if we are or were to become a USRPHC, however, our common stock will not be treated as a USRPI if our common stock is “regularly traded” on an “established securities market” (as such terms are defined by applicable Treasury Regulations) and such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U.S. Holder owned, actually and constructively, 5% or less of our common stock throughout the shorter of the 5-year period ending on the date of the sale or other taxable disposition or such Non-U.S. Holder’s holding period. No assurance can be provided that our common stock will be regularly traded on an established securities market for purposes of the rules described above.</w:t>
      </w:r>
    </w:p>
    <w:p>
      <w:pPr>
        <w:spacing w:after="0" w:line="122" w:lineRule="exact"/>
        <w:rPr>
          <w:sz w:val="20"/>
          <w:szCs w:val="20"/>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Each Non-U.S. Holder is urged to consult its tax advisor regarding the U.S. federal income tax considerations of the sale or other taxable disposition of our common stock or pre-funded warrants, including any applicable income tax treaties that may provide for different rules.</w:t>
      </w:r>
    </w:p>
    <w:p>
      <w:pPr>
        <w:spacing w:after="0" w:line="10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As discussed above under “U.S. Holders—Constructive Distributions on Pre-Funded Warrants,” certain adjustments to the pre-funded warrants may result in a constructive distribution to holders of such pre-funded warrants. Non-U.S. Holders should consult their tax advisors on the circumstances in which a constructive distribution may be realized, and the tax consequences of any such constructive distribution.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Payments of dividends on our common stock generally will not be subject to backup withholding provided the applicable withholding agent does not have actual knowledge or reason to know the Non-U.S. Holder is a U.S. person and the Non-U.S. Holder certifies its non-U.S. status by furnishing a valid IRS Form W-8BEN, W-8BEN-E, W-8ECI, W-8EXP or other applicable IRS form, or otherwise establishes an exemption. Information returns are required to be filed with the IRS in connection with any distributions on our common stock paid to the Non-U.S. Holder, regardless of whether any tax was actually withheld. Copies of these information returns may also be made available under the provisions of an applicable treaty or agreement to the tax authorities of the country in which the Non-U.S. Holder resides or is established.</w:t>
      </w:r>
    </w:p>
    <w:p>
      <w:pPr>
        <w:spacing w:after="0" w:line="1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Information reporting and, depending on the circumstances, backup withholding generally will apply (at a current rate of 24%) to the proceeds of the sale or other taxable disposition of our common stock within the United States or conducted through certain U.S.-related brokers, unless the applicable withholding agent receives the certification described above and does not have actual knowledge or reason to know that the Non-U.S. Holder is a U.S.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3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7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and the rules and regulations promulgated thereunder (commonly referred to as “FATCA”) on certain types of payments made to non-U.S. financial institutions and certain other non-U.S. entities. Specifically, a 30% withholding tax may be imposed on dividends on our common stock paid to a “foreign financial institution” or a “non-financial foreign entity” (each as defined in the Code), unless: (i) the foreign financial institution undertakes certain diligence, reporting and withholding obligations; (ii) the non-financial foreign entity either certifies it does not have any “substantial U.S. owners” (as defined in the Code) or furnishes identifying information regarding each substantial U.S. owner; or (iii) the foreign financial institution or non-financial foreign entity otherwise qualifies for an exemption from these rules. If the payee is a foreign financial institution and is subject to the diligence, reporting and withholding requirements in (i) above, it must enter into an agreement with the U.S. Department of the Treasury requiring, among other things, that it undertake to identify accounts held by certain “specified U.S.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concerning FATCA may be subject to different rules. If a dividend payment is both subject to withholding under FATCA and subject to the withholding tax discussed above under the section titled “Non-U.S.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Distributions (and Constructive Distributions) on Common Stock,” the withholding under FATCA may be credited against, and therefore reduce, such other withholding tax.</w:t>
      </w:r>
    </w:p>
    <w:p>
      <w:pPr>
        <w:spacing w:after="0" w:line="10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Leerink Partners LLC, Stifel, Nicolaus &amp; Company, Incorporated and Guggenheim Securities,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and pre-funded warrants set forth opposite its name below.</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Pre-Funded</w:t>
            </w:r>
          </w:p>
        </w:tc>
        <w:tc>
          <w:tcPr>
            <w:tcW w:w="0" w:type="dxa"/>
            <w:vAlign w:val="bottom"/>
          </w:tcPr>
          <w:p>
            <w:pPr>
              <w:spacing w:after="0"/>
              <w:rPr>
                <w:sz w:val="1"/>
                <w:szCs w:val="1"/>
                <w:color w:val="auto"/>
              </w:rPr>
            </w:pPr>
          </w:p>
        </w:tc>
      </w:tr>
      <w:tr>
        <w:trPr>
          <w:trHeight w:val="146"/>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Warrants to be</w:t>
            </w:r>
          </w:p>
        </w:tc>
        <w:tc>
          <w:tcPr>
            <w:tcW w:w="0" w:type="dxa"/>
            <w:vAlign w:val="bottom"/>
          </w:tcPr>
          <w:p>
            <w:pPr>
              <w:spacing w:after="0"/>
              <w:rPr>
                <w:sz w:val="1"/>
                <w:szCs w:val="1"/>
                <w:color w:val="auto"/>
              </w:rPr>
            </w:pPr>
          </w:p>
        </w:tc>
      </w:tr>
      <w:tr>
        <w:trPr>
          <w:trHeight w:val="198"/>
        </w:trPr>
        <w:tc>
          <w:tcPr>
            <w:tcW w:w="8020" w:type="dxa"/>
            <w:vAlign w:val="bottom"/>
            <w:vMerge w:val="continue"/>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28"/>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Leerink Partners LLC</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1,414,142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269,360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Stifel, Nicolaus &amp; Company, Incorporated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742,424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141,414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Guggenheim Securities,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707,071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LifeSci Capital LLC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353,535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 Blair &amp; Company, L.L.C.</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53,872</w:t>
            </w:r>
          </w:p>
        </w:tc>
        <w:tc>
          <w:tcPr>
            <w:tcW w:w="0" w:type="dxa"/>
            <w:vAlign w:val="bottom"/>
          </w:tcPr>
          <w:p>
            <w:pPr>
              <w:spacing w:after="0"/>
              <w:rPr>
                <w:sz w:val="1"/>
                <w:szCs w:val="1"/>
                <w:color w:val="auto"/>
              </w:rPr>
            </w:pPr>
          </w:p>
        </w:tc>
      </w:tr>
      <w:tr>
        <w:trPr>
          <w:trHeight w:val="234"/>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666,666</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of common stock and pre-funded warrants sold under the underwriting agreement if any of the shares of common stock or pre-funded warrants are purchased. If an underwriter defaults, the underwriting agreement provides that the purchase commitments of the non-defaulting underwriters may be increased or the underwriting agreement may be terminated.</w:t>
      </w:r>
    </w:p>
    <w:p>
      <w:pPr>
        <w:spacing w:after="0" w:line="12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8"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of common stock and pre-funded warrants, subject to prior sale, when, as and if issued to and accepted by them, subject to approval of legal matters by their counsel, including the validity of the shares of common stock and pre-funded warrants,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underwriters have not been engaged to act as warrant agent for the pre-funded warrants or to act as underwriter or agent or otherwise participate in the issuance of the shares of our common stock upon the exercise of the pre-funded warrants.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Discounts and Commissions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representatives have advised us that the underwriters propose to initially offer the shares of common stock and pre-funded warrants to the public at the initial public offering price set forth on the cover page of this prospectus supplement and to dealers at that price less a concession not in excess of $1.08 per share of common stock and at that price less a concession not in excess of $1.08 per pre-funded warrant. After the offering of the shares of common stock and pre-funded warrants, the public offering price, concession or any other term of this offering may be changed by the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shows the initial public offering price, underwriting discounts and commissions and proceeds, before expenses, to us. The information assumes either no exercise or full exercise by the underwriters of their option to purchase additional shares of our common stock.</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220" w:type="dxa"/>
            <w:vAlign w:val="bottom"/>
          </w:tcPr>
          <w:p>
            <w:pPr>
              <w:spacing w:after="0"/>
              <w:rPr>
                <w:sz w:val="10"/>
                <w:szCs w:val="10"/>
                <w:color w:val="auto"/>
              </w:rPr>
            </w:pPr>
          </w:p>
        </w:tc>
        <w:tc>
          <w:tcPr>
            <w:tcW w:w="122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With Option</w:t>
            </w:r>
          </w:p>
        </w:tc>
        <w:tc>
          <w:tcPr>
            <w:tcW w:w="0" w:type="dxa"/>
            <w:vAlign w:val="bottom"/>
          </w:tcPr>
          <w:p>
            <w:pPr>
              <w:spacing w:after="0"/>
              <w:rPr>
                <w:sz w:val="1"/>
                <w:szCs w:val="1"/>
                <w:color w:val="auto"/>
              </w:rPr>
            </w:pPr>
          </w:p>
        </w:tc>
      </w:tr>
      <w:tr>
        <w:trPr>
          <w:trHeight w:val="19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Warrant</w:t>
            </w:r>
          </w:p>
        </w:tc>
        <w:tc>
          <w:tcPr>
            <w:tcW w:w="16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public offering price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29.999999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124,999,979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143,749,949</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7,499,999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8,624,997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28.199999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117,499,980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135,124,952</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$300,000. We also have agreed to reimburse the underwriters for up to $20,000 for their FINRA counsel fee. In accordance with FINRA Rule 5110, this reimbursed fee is deemed underwriting compensation for this offering. Certain expenses payable by us in connection with this offering will be reimbursed by the underwriters.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624,999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amount reflected in the above table.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72"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We have agreed that, during the period commencing on and including the date of this prospectus supplement and continuing through and including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following the date of this prospectus supplement (the “Lock-Up Period”), we will not, without the prior written consent of Leerink Partners LLC, Stifel, Nicolaus &amp; Company, Incorporated and Guggenheim Securities, LLC, on behalf of the underwriters,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Securities Act with respect to any of the foregoing,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such other securities, in cash or otherwise or (iii) publicly announce an intention to effect any such swap, agreement or other transaction described in clauses (i) and (ii). The foregoing sentence shall not apply to (A) the securities to be sold under this prospectus supplement; (B) any shares of common stock issued by us upon the exercise of an option or warrant or the conversion of a convertible security outstanding on the date hereof and referred to in this prospectus supplement, the accompanying prospectus or the documents incorporated herein or therein; (C) any shares of common stock issued or options to purchase common stock granted pursuant to existing employee benefit plans referred to in this prospectus supplement, the accompanying prospectus or the documents incorporated herein or therein; (D) any shares of common stock issued pursuant to any existing non-employee director stock plan or dividend reinvestment plan referred to in this prospectus supplement, the accompanying prospectus or the documents incorporated herein or therein; (E) the filing by us of any registration statement on Form S-8 or a successor form thereto; or (F) the sale or issuance of or entry into an agreement to sell or issue shares of common stock or other securities issued in connection with any (1) merger, (2) acquisition of securities, businesses, properties or other assets, (3) joint venture or (4) strategic alliance or relationship;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aggregate number of shares issued pursuant to this clause (F) shall not exceed 5.0% of the total number of outstanding shares of common stock immediately following the issuance and sale of the securities. Notwithstanding the foregoing, we may effect sales pursuant to the Sales Agreement, provided, that (X) we notify the representatives prior to effecting any sales and (Y) no sales shall be made until the earlier of (i) the exercise in full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of their option to purchase additional shares of our common stock and (ii) 30 calendar days after the date of this prospectus supplement.</w:t>
      </w:r>
    </w:p>
    <w:p>
      <w:pPr>
        <w:spacing w:after="0" w:line="17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Our executive officers and directors (the “lock-up signatories”) have agreed, subject to certain exceptions, not to sell or transfer any shares of common stock or securities convertible into or exchangeable into or exercisable for shares of common stock, during the Lock-Up Period without first obtaining the written consent of Leerink Partners LLC, Stifel, Nicolaus &amp; Company, Incorporated and Guggenheim Securities, LLC, on behalf of the underwriters. Specifically, the lock-up signatories have agreed, with certain limited exceptions, not to directly or indirectly, (i) offer, sell, assign, transfer, pledge, contract to sell, lend or otherwise dispose of, or announce the intention to otherwise dispose of, any shares of common stock (including, without limitation, common stock which may be deemed to be beneficially owned by the lock-up signatory in accordance with the rules and regulations promulgated under the Securities Act as the same may be amended or supplemented from time to time (such shares, the “Beneficially Owned Shares”) or securities convertible into or exercisable or exchangeable for common stock, (ii) enter into, or announce the intention to enter into, any swap, hedge or similar agreement or arrangement (including, without limitation, the purchase or sale of, or entry into, any put or call option, or combination thereof, forward, swap or any other derivative transaction or instrument, however described or defined) that transfers, is designed to transfer or reasonably could be expected to transfer (whether by the lock-up signatory or someone other than the lock-up signatory) in whole or in part, directly or indirectly, the economic risk of ownership of the Beneficially Owned Shares or securities convertible into or exercisable or exchangeable for common stock, whether now owned or hereafter acquired by the lock-up signatory or with respect to which the lock-up signatory has or hereafter acquires the power of disposition (the “Prohibited Activity”), or</w:t>
      </w:r>
    </w:p>
    <w:p>
      <w:pPr>
        <w:spacing w:after="0" w:line="10" w:lineRule="exact"/>
        <w:rPr>
          <w:sz w:val="20"/>
          <w:szCs w:val="20"/>
          <w:color w:val="auto"/>
        </w:rPr>
      </w:pPr>
    </w:p>
    <w:p>
      <w:pPr>
        <w:ind w:right="20" w:firstLine="8"/>
        <w:spacing w:after="0" w:line="252"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or announce the intention to engage in, any short selling of the common stock or securities convertible into or exercisable or exchangeable for common stock. The lock-up signatory represents and warrants that the lock-up signatory is not, and has not caused or directed any of its affiliates to be or become, currently a party to any agreement or arrangement that is designed to or which reasonably could be expected to lead to or result in any Prohibited Activity during the Lock-Up Period. If the lock-up signatory is not a natural person, the lock-up signatory represents and warrants that no single natural person, entity or “group” (within the meaning of Section 13(d)(3) of the Exchange Act), other than a natural person, entity or “group” (as described above) that has executed a lock-up agreement, beneficially owns, directly or indirectly, 50% or more of the common equity interests, or 50% or more of the voting power, in the lock-up signatory.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restrictions set forth in the immediately preceding paragraph shall not apply to:</w:t>
      </w:r>
    </w:p>
    <w:p>
      <w:pPr>
        <w:spacing w:after="0" w:line="171" w:lineRule="exact"/>
        <w:rPr>
          <w:sz w:val="20"/>
          <w:szCs w:val="20"/>
          <w:color w:val="auto"/>
        </w:rPr>
      </w:pPr>
    </w:p>
    <w:p>
      <w:pPr>
        <w:ind w:left="660" w:right="100" w:hanging="328"/>
        <w:spacing w:after="0" w:line="261"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signatory is a natural person, any transfers made by the lock-up signatory (a) as a bona fide gift to any member of the immediate family (as defined below) of the lock-up signatory or to a trust the beneficiaries of which are exclusively the lock-up signatory or members of the lock-up signatory’s immediate family, (b) by will or intestate succession upon the death of the lock-up signatory or (c) as a bona fide gift to a charity or educational institution,</w:t>
      </w:r>
    </w:p>
    <w:p>
      <w:pPr>
        <w:spacing w:after="0" w:line="125"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4"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lock-up signatory is a corporation, partnership, limited liability company or other business entity, any transfers to any stockholder, partner or member of, or owner of a similar equity interest in, the lock-up signatory, as the case may be, if, in any such case, such transfer is not for value,</w:t>
      </w:r>
    </w:p>
    <w:p>
      <w:pPr>
        <w:spacing w:after="0" w:line="85" w:lineRule="exact"/>
        <w:rPr>
          <w:rFonts w:ascii="Times New Roman" w:cs="Times New Roman" w:eastAsia="Times New Roman" w:hAnsi="Times New Roman"/>
          <w:sz w:val="17"/>
          <w:szCs w:val="17"/>
          <w:color w:val="auto"/>
        </w:rPr>
      </w:pPr>
    </w:p>
    <w:p>
      <w:pPr>
        <w:ind w:left="640" w:hanging="308"/>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lock-up signatory is a corporation, partnership, limited liability company or other business entity, any transfer made by the lock-up signatory</w:t>
      </w:r>
    </w:p>
    <w:p>
      <w:pPr>
        <w:spacing w:after="0" w:line="27" w:lineRule="exact"/>
        <w:rPr>
          <w:rFonts w:ascii="Times New Roman" w:cs="Times New Roman" w:eastAsia="Times New Roman" w:hAnsi="Times New Roman"/>
          <w:sz w:val="18"/>
          <w:szCs w:val="18"/>
          <w:color w:val="auto"/>
        </w:rPr>
      </w:pPr>
    </w:p>
    <w:p>
      <w:pPr>
        <w:ind w:left="6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connection with the sale or other bona fide transfer in a single transaction of all or substantially all of the lock-up signatory’s capital stock, partnership interests, membership interests or other similar equity interests, as the case may be, or all or substantially all of the lock-up signatory’s assets, in any such case not undertaken for the purpose of avoiding the restrictions imposed by the lock-up agreement or (b) to another corporation, partnership, limited liability company or other business entity so long as the transferee is an affiliate (as defined below) of the lock-up signatory and such transfer is not for value,</w:t>
      </w:r>
    </w:p>
    <w:p>
      <w:pPr>
        <w:spacing w:after="0" w:line="132"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common stock or other securities convertible into or exercisable or exchangeable for common stock acquired in open market transactions after completion of this offering; provided,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such transaction is required to be, or is, voluntarily publicly announced (whether on Form 4, Form 5 or otherwise) during the Lock-Up Period,</w:t>
      </w:r>
    </w:p>
    <w:p>
      <w:pPr>
        <w:spacing w:after="0" w:line="171" w:lineRule="exact"/>
        <w:rPr>
          <w:sz w:val="20"/>
          <w:szCs w:val="20"/>
          <w:color w:val="auto"/>
        </w:rPr>
      </w:pPr>
    </w:p>
    <w:p>
      <w:pPr>
        <w:ind w:left="660" w:right="40" w:hanging="328"/>
        <w:spacing w:after="0" w:line="25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by the lock-up signatory, at any time on or after the date of this prospectus supplement, of any trading plan providing for the sale of common stock by the lock-up signatory, which trading plan meets the requirements of Rule 10b5-1(c) under the Exchange Act; provided, however, that such plan does not provide for, or permit, the sale of any common stock during the Lock-Up Period and to the extent a public announcement or filing under the Exchange Act, if any, is required to be made regarding the establishment of such new 10b5-1 plan, such announcement or filing shall include a statement to the effect that no sale of securities may be made under such new 10b5-1 plan during the Lock-Up Period,</w:t>
      </w:r>
    </w:p>
    <w:p>
      <w:pPr>
        <w:spacing w:after="0" w:line="133"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securities (including following the exercise of options to purchase securities) pursuant to a 10b5-1 plan adopted prior to the date of the lock-up agreement, provided, however, that the existence and details of such 10b5-1 plan were communicated to the representatives prior to the date of the lock-up agreement and such 10b5-1 plan will not be amended or otherwise modified during the Lock-Up Period,</w:t>
      </w:r>
    </w:p>
    <w:p>
      <w:pPr>
        <w:spacing w:after="0" w:line="121"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transfers made by the lock-up signatory to us to satisfy tax withholding obligations pursuant to our equity incentive plans or arrangements disclosed in this prospectus; and</w:t>
      </w:r>
    </w:p>
    <w:p>
      <w:pPr>
        <w:spacing w:after="0" w:line="1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provided, however, that in the case of any transfer described in clause (1), (2) or (3) above, it shall be a condition to the transfer that (A) the transferee executes and delivers to the representatives, acting on behalf of the underwriters, not later than one business day prior to such transfer, a lock-up agreement (it being understood that any references to “immediate family” in the agreement executed by such transferee shall expressly refer only to the immediate family of the lock-up signatory and not to the immediate family of the transferee) and otherwise satisfactory in form and substance to the representatives, and (B) in the case of any transfer described in clause (1), (2), (3), (6) or (7) above, no public announcement or filing is voluntarily made regarding such transfer during the Lock-Up Period and if the lock-up signatory is required to file a report under Section 16(a) of the Exchange Act, reporting a reduction in beneficial ownership of shares of common stock or Beneficially Owned Shares or any securities convertible into or exercisable or exchangeable for common stock or Beneficially Owned Shares during the Lock-Up Period, the lock-up signatory shall include a statement in such report to the effect that,</w:t>
      </w:r>
    </w:p>
    <w:p>
      <w:pPr>
        <w:spacing w:after="0" w:line="1" w:lineRule="exact"/>
        <w:rPr>
          <w:sz w:val="20"/>
          <w:szCs w:val="20"/>
          <w:color w:val="auto"/>
        </w:rPr>
      </w:pPr>
    </w:p>
    <w:p>
      <w:pPr>
        <w:ind w:right="40" w:firstLine="8"/>
        <w:spacing w:after="0" w:line="251" w:lineRule="auto"/>
        <w:tabs>
          <w:tab w:leader="none" w:pos="2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transfer pursuant to clause (1) above, such transfer is being made as a gift or by will or intestate succession, (B) in the case of any transfer pursuant to clause (2) above, such transfer is being made to a stockholder, partner or member of, or owner of a similar equity interest in, the lock-up signatory and is not a transfer for value, (C) in the case of any transfer pursuant to clause (3) above, such transfer is being made either (a) in connection with the sale or other bona fide transfer in a single transaction of all or substantially all of the lock-up signatory’s capital stock, partnership interests, membership interests or other similar equity interests, as the case may be, or all or substantially all of the lock-up signatory’s assets or (b) to another corporation, partnership, limited liability company or other business entity that is an affiliate of the lock-up signatory and such transfer is not for value, (D) in the case of any transfer pursuant to clause (6) above, such sale is being made pursuant to a 10b5-1 plan and (E) in the case of any transfer pursuant to clause (7) above, such transfer is being made to satisfy tax withholding obligations. For purposes of this paragraph, “immediate family” shall mean a spouse, child, grandchild or other lineal descendant (including by adoption), father, mother, brother or sister of the lock-up signatory; and “affiliate” shall have the meaning set forth in Rule 405 under the Securities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“NGNE.” We do not intend to list the pre-funded warrants on the Nasdaq Global Market, any other nationally recognized securities exchange or any other nationally recognized trading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17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of common stock and pre-funded warrants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220"/>
          </w:cols>
          <w:pgMar w:left="320" w:top="121"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of common stock and pre-funded warrants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w:t>
      </w:r>
    </w:p>
    <w:p>
      <w:pPr>
        <w:spacing w:after="0" w:line="13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2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2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this offering, certain of the underwriters or securities dealers may distribute prospectuses by electronic means, such as e-mail.</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7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w:t>
      </w:r>
    </w:p>
    <w:p>
      <w:pPr>
        <w:spacing w:after="0" w:line="12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Leerink Partners LLC is the sales agent under the Sales Agreement, pursuant to which we may offer and sell, from time to time, shares of our common stock by any method that is deemed to be an “at the market offering” under Rule 415(a)(4)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securities may be offered to the public in that Relevant State at any time:</w:t>
      </w:r>
    </w:p>
    <w:p>
      <w:pPr>
        <w:spacing w:after="0" w:line="126"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71"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6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securities shall require us or any of the representatives to publish a prospectus pursuant to Article 3 of the Prospectus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or supplement a prospectus pursuant to Article 23 of the Prospectus Regulation. 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 as amended.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7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No securities have been offered or will be offered pursuant to the offering to the public in the United Kingdom prior to the publication of a prospectus in relation to the securities which has been approved by the Financial Conduct Authority, except that the securities may be offered to the public in the United Kingdom at any time:</w:t>
      </w:r>
    </w:p>
    <w:p>
      <w:pPr>
        <w:spacing w:after="0" w:line="122"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171"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Financial Services and Markets Act 2000 (the “FSMA”),</w:t>
      </w:r>
    </w:p>
    <w:p>
      <w:pPr>
        <w:spacing w:after="0" w:line="16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the securities shall require us or any representative to publish a prospectus pursuant to Section 85 of the FSMA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 a prospectus pursuant to Article 23 of the UK Prospectus Regulation. 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6"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40"/>
          </w:cols>
          <w:pgMar w:left="320" w:top="121"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Gibson, Dunn &amp; Crutcher LLP, San Francisco, California. The underwriters are being represented in connection with this offering by Cooley LLP, New York, New York.</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Neurogene Inc. as of December 31, 2025 and 2024, and for each of the two years in the period ended December 31, 2025, incorporated by reference in this prospectus supplement,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prospectus supplement incorporates by reference important business and financial information about the Company that is not included in or delivered with this document. The information incorporated by reference is considered to be part of this prospectus supplement, and the SEC allows us to “incorporate by reference” the information we file with it, which means that we can disclose important information to you by referring you to those documents instead of having to repeat the information in this prospectus supplement. Any information referenced in this way is considered part of this prospectus supplement. Any subsequent information filed with the SEC will automatically be deemed to update and supersede the information in this prospectus supplement and in our other filings with the SEC. We are incorporating by reference the documents listed below:</w:t>
      </w:r>
    </w:p>
    <w:p>
      <w:pPr>
        <w:spacing w:after="0" w:line="13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2025, filed with the SEC on March 24, 2026;</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16">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2025 from our Definitive Proxy Statement on </w:t>
      </w:r>
      <w:hyperlink r:id="rId17">
        <w:r>
          <w:rPr>
            <w:rFonts w:ascii="Times New Roman" w:cs="Times New Roman" w:eastAsia="Times New Roman" w:hAnsi="Times New Roman"/>
            <w:sz w:val="18"/>
            <w:szCs w:val="18"/>
            <w:u w:val="single" w:color="auto"/>
            <w:color w:val="0000FF"/>
          </w:rPr>
          <w:t>Schedule 14A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on April 16, 2026;</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18">
        <w:r>
          <w:rPr>
            <w:rFonts w:ascii="Times New Roman" w:cs="Times New Roman" w:eastAsia="Times New Roman" w:hAnsi="Times New Roman"/>
            <w:sz w:val="18"/>
            <w:szCs w:val="18"/>
            <w:u w:val="single" w:color="auto"/>
            <w:color w:val="0000FF"/>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 filed with the SEC on May 12, 2026;</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19">
        <w:r>
          <w:rPr>
            <w:rFonts w:ascii="Times New Roman" w:cs="Times New Roman" w:eastAsia="Times New Roman" w:hAnsi="Times New Roman"/>
            <w:sz w:val="18"/>
            <w:szCs w:val="18"/>
            <w:u w:val="single" w:color="auto"/>
            <w:color w:val="0000FF"/>
          </w:rPr>
          <w:t>April 20,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June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FF"/>
          </w:rPr>
          <w:t>June 29,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(Item 8.01 only); and</w:t>
      </w:r>
    </w:p>
    <w:p>
      <w:pPr>
        <w:spacing w:after="0" w:line="171"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our Registration Statement on </w:t>
      </w:r>
      <w:hyperlink r:id="rId22">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March 3, 2014, including any amendment or reports filed for the purpose of updating such description.</w:t>
      </w:r>
    </w:p>
    <w:p>
      <w:pPr>
        <w:spacing w:after="0" w:line="108" w:lineRule="exact"/>
        <w:rPr>
          <w:rFonts w:ascii="Times New Roman" w:cs="Times New Roman" w:eastAsia="Times New Roman" w:hAnsi="Times New Roman"/>
          <w:sz w:val="18"/>
          <w:szCs w:val="18"/>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supplement.</w:t>
      </w:r>
    </w:p>
    <w:p>
      <w:pPr>
        <w:spacing w:after="0" w:line="108" w:lineRule="exact"/>
        <w:rPr>
          <w:rFonts w:ascii="Times New Roman" w:cs="Times New Roman" w:eastAsia="Times New Roman" w:hAnsi="Times New Roman"/>
          <w:sz w:val="18"/>
          <w:szCs w:val="18"/>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into this prospectus supplement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 supplement.</w:t>
      </w:r>
    </w:p>
    <w:p>
      <w:pPr>
        <w:spacing w:after="0" w:line="126" w:lineRule="exact"/>
        <w:rPr>
          <w:rFonts w:ascii="Times New Roman" w:cs="Times New Roman" w:eastAsia="Times New Roman" w:hAnsi="Times New Roman"/>
          <w:sz w:val="18"/>
          <w:szCs w:val="18"/>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supplement, including exhibits to these documents. You should direct any requests for documents to Neurogene Inc., 535 W 24th St., 5th Floor, New York, NY 10011, telephone: (855) 508-3568. You also may access these filings on our website at www.neurogene.com. We do not incorporate the information on our website into this prospectus supplement and you should not consider any information on, or that can be accessed through, our website as part of this prospectus supplement (other than those filings with the SEC that we specifically incorporate by reference into this prospectus supplement).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7"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(http://www.sec.gov) that contains reports, proxy and information statements, and various other information about registrants, like us, that file electronically with the SEC.</w:t>
      </w:r>
    </w:p>
    <w:p>
      <w:pPr>
        <w:spacing w:after="0" w:line="122"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http://www.neurogene.com. You may access these materials free of charge as soon as reasonably practicable after they are electronically filed with, or furnished to, the SEC. However, the information on our website is not a part of this prospectus supplement and is not incorporated by reference into this prospectus supplement.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S-3 under the Securities Act relating to the securities covered by this prospectus supplement. This prospectus supplement is a part of the registration statement and does not contain all of the information in the registration statement. Whenever a reference is made in this prospectus supplement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122555</wp:posOffset>
            </wp:positionV>
            <wp:extent cx="1320165" cy="9175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165" cy="917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Neurogene Inc.</w:t>
      </w:r>
    </w:p>
    <w:p>
      <w:pPr>
        <w:spacing w:after="0" w:line="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Common Stock</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Preferred Stock</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Debt Securities</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Warrants</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8"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time to time, we may issue, in one or more series or classes, up to a maximum aggregate offering price of $300,000,000 of our common stock, preferred stock, debt securities, warrants and/or units, at prices and on terms that we will determine at the time of the offering.</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We may not sell any securities under this prospectus without delivery of the applicable prospectus supplement. If information in any prospectus supplement is inconsistent with the information in this prospectus, then the information in that prospectus supplement will apply and will supersede the information in this prospectus.</w:t>
      </w:r>
    </w:p>
    <w:p>
      <w:pPr>
        <w:spacing w:after="0" w:line="133"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You should read this prospectus, the applicable prospectus supplement and any related free writing prospectus carefully, as well as any documents incorporated by reference, before you invest in any of the securities being offered.</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Common Stock, par value $0.000001 per share, is traded on The Nasdaq Global Market (“Nasdaq”) under the symbol “NGNE.” On March 21, 2025, the last reported sale price for our Common Stock was $14.21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t>An investment in our securities involves a high degree of risk. You should carefully consider the information under the heading “</w:t>
      </w:r>
      <w:r>
        <w:rPr>
          <w:rFonts w:ascii="Times New Roman" w:cs="Times New Roman" w:eastAsia="Times New Roman" w:hAnsi="Times New Roman"/>
          <w:sz w:val="18"/>
          <w:szCs w:val="18"/>
          <w:b w:val="1"/>
          <w:bCs w:val="1"/>
          <w:u w:val="single" w:color="auto"/>
          <w:color w:val="0000FF"/>
        </w:rPr>
        <w:t>Risk Factors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FF"/>
        </w:rPr>
        <w:t>2</w:t>
      </w:r>
      <w:r>
        <w:rPr>
          <w:rFonts w:ascii="Times New Roman" w:cs="Times New Roman" w:eastAsia="Times New Roman" w:hAnsi="Times New Roman"/>
          <w:sz w:val="18"/>
          <w:szCs w:val="18"/>
          <w:b w:val="1"/>
          <w:bCs w:val="1"/>
          <w:color w:val="auto"/>
        </w:rPr>
        <w:t xml:space="preserve"> of this prospectus and any applicable prospectus supplement. We are a “smaller reporting company” as defined by Rule 12b-2 of the Exchange Act and are subject to reduced public company reporting requirements.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date of this prospectus is April 4 , 2025.</w:t>
      </w:r>
    </w:p>
    <w:p>
      <w:pPr>
        <w:sectPr>
          <w:pgSz w:w="11900" w:h="16838" w:orient="portrait"/>
          <w:cols w:equalWidth="0" w:num="1">
            <w:col w:w="11200"/>
          </w:cols>
          <w:pgMar w:left="320" w:top="927" w:right="379" w:bottom="1440" w:gutter="0" w:footer="0" w:header="0"/>
        </w:sectPr>
      </w:pPr>
    </w:p>
    <w:bookmarkStart w:id="34" w:name="page35"/>
    <w:bookmarkEnd w:id="34"/>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6600" w:type="dxa"/>
            <w:vAlign w:val="bottom"/>
            <w:gridSpan w:val="5"/>
          </w:tcPr>
          <w:p>
            <w:pPr>
              <w:jc w:val="right"/>
              <w:ind w:right="46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462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About This Prospectus</w:t>
            </w:r>
          </w:p>
        </w:tc>
        <w:tc>
          <w:tcPr>
            <w:tcW w:w="57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620" w:type="dxa"/>
            <w:vAlign w:val="bottom"/>
            <w:gridSpan w:val="10"/>
            <w:vMerge w:val="continue"/>
          </w:tcPr>
          <w:p>
            <w:pPr>
              <w:spacing w:after="0"/>
              <w:rPr>
                <w:sz w:val="15"/>
                <w:szCs w:val="15"/>
                <w:color w:val="auto"/>
              </w:rPr>
            </w:pPr>
          </w:p>
        </w:tc>
        <w:tc>
          <w:tcPr>
            <w:tcW w:w="57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gridSpan w:val="2"/>
          </w:tcPr>
          <w:p>
            <w:pPr>
              <w:jc w:val="right"/>
              <w:ind w:right="20"/>
              <w:spacing w:after="0" w:line="182" w:lineRule="exact"/>
              <w:rPr>
                <w:sz w:val="20"/>
                <w:szCs w:val="20"/>
                <w:color w:val="auto"/>
              </w:rPr>
            </w:pPr>
            <w:r>
              <w:rPr>
                <w:rFonts w:ascii="Times New Roman" w:cs="Times New Roman" w:eastAsia="Times New Roman" w:hAnsi="Times New Roman"/>
                <w:sz w:val="18"/>
                <w:szCs w:val="18"/>
                <w:u w:val="single" w:color="auto"/>
                <w:color w:val="0000FF"/>
              </w:rPr>
              <w:t>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7"/>
              </w:rPr>
              <w:t>The Company</w:t>
            </w:r>
          </w:p>
        </w:tc>
        <w:tc>
          <w:tcPr>
            <w:tcW w:w="3580" w:type="dxa"/>
            <w:vAlign w:val="bottom"/>
            <w:gridSpan w:val="7"/>
          </w:tcPr>
          <w:p>
            <w:pPr>
              <w:spacing w:after="0"/>
              <w:rPr>
                <w:sz w:val="18"/>
                <w:szCs w:val="18"/>
                <w:color w:val="auto"/>
              </w:rPr>
            </w:pPr>
          </w:p>
        </w:tc>
        <w:tc>
          <w:tcPr>
            <w:tcW w:w="6500" w:type="dxa"/>
            <w:vAlign w:val="bottom"/>
            <w:gridSpan w:val="3"/>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1</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120" w:type="dxa"/>
            <w:vAlign w:val="bottom"/>
          </w:tcPr>
          <w:p>
            <w:pPr>
              <w:spacing w:after="0"/>
              <w:rPr>
                <w:sz w:val="18"/>
                <w:szCs w:val="18"/>
                <w:color w:val="auto"/>
              </w:rPr>
            </w:pPr>
          </w:p>
        </w:tc>
        <w:tc>
          <w:tcPr>
            <w:tcW w:w="3580" w:type="dxa"/>
            <w:vAlign w:val="bottom"/>
            <w:gridSpan w:val="7"/>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Use of Proceeds</w:t>
            </w:r>
          </w:p>
        </w:tc>
        <w:tc>
          <w:tcPr>
            <w:tcW w:w="3440" w:type="dxa"/>
            <w:vAlign w:val="bottom"/>
            <w:gridSpan w:val="6"/>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Securities We May Offer</w:t>
            </w: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Description of Securities</w:t>
            </w:r>
          </w:p>
        </w:tc>
        <w:tc>
          <w:tcPr>
            <w:tcW w:w="2820" w:type="dxa"/>
            <w:vAlign w:val="bottom"/>
            <w:gridSpan w:val="3"/>
          </w:tcPr>
          <w:p>
            <w:pPr>
              <w:spacing w:after="0"/>
              <w:rPr>
                <w:sz w:val="18"/>
                <w:szCs w:val="18"/>
                <w:color w:val="auto"/>
              </w:rPr>
            </w:pPr>
          </w:p>
        </w:tc>
        <w:tc>
          <w:tcPr>
            <w:tcW w:w="66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360" w:type="dxa"/>
            <w:vAlign w:val="bottom"/>
            <w:gridSpan w:val="2"/>
          </w:tcPr>
          <w:p>
            <w:pPr>
              <w:spacing w:after="0"/>
              <w:rPr>
                <w:sz w:val="18"/>
                <w:szCs w:val="18"/>
                <w:color w:val="auto"/>
              </w:rPr>
            </w:pPr>
          </w:p>
        </w:tc>
        <w:tc>
          <w:tcPr>
            <w:tcW w:w="2820" w:type="dxa"/>
            <w:vAlign w:val="bottom"/>
            <w:gridSpan w:val="3"/>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Matters</w:t>
            </w:r>
          </w:p>
        </w:tc>
        <w:tc>
          <w:tcPr>
            <w:tcW w:w="6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Experts</w:t>
            </w:r>
          </w:p>
        </w:tc>
        <w:tc>
          <w:tcPr>
            <w:tcW w:w="480" w:type="dxa"/>
            <w:vAlign w:val="bottom"/>
            <w:tcBorders>
              <w:top w:val="single" w:sz="8" w:color="0000FF"/>
            </w:tcBorders>
            <w:gridSpan w:val="2"/>
          </w:tcPr>
          <w:p>
            <w:pPr>
              <w:spacing w:after="0"/>
              <w:rPr>
                <w:sz w:val="18"/>
                <w:szCs w:val="18"/>
                <w:color w:val="auto"/>
              </w:rPr>
            </w:pPr>
          </w:p>
        </w:tc>
        <w:tc>
          <w:tcPr>
            <w:tcW w:w="3580" w:type="dxa"/>
            <w:vAlign w:val="bottom"/>
            <w:gridSpan w:val="7"/>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Incorporation By Reference</w:t>
            </w:r>
          </w:p>
        </w:tc>
        <w:tc>
          <w:tcPr>
            <w:tcW w:w="2600" w:type="dxa"/>
            <w:vAlign w:val="bottom"/>
            <w:gridSpan w:val="2"/>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1740" w:type="dxa"/>
            <w:vAlign w:val="bottom"/>
          </w:tcPr>
          <w:p>
            <w:pPr>
              <w:spacing w:after="0"/>
              <w:rPr>
                <w:sz w:val="18"/>
                <w:szCs w:val="18"/>
                <w:color w:val="auto"/>
              </w:rPr>
            </w:pPr>
          </w:p>
        </w:tc>
        <w:tc>
          <w:tcPr>
            <w:tcW w:w="64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1440" w:right="339" w:bottom="1440" w:gutter="0" w:footer="0" w:header="0"/>
        </w:sectPr>
      </w:pPr>
    </w:p>
    <w:bookmarkStart w:id="35" w:name="page36"/>
    <w:bookmarkEnd w:id="35"/>
    <w:p>
      <w:pPr>
        <w:spacing w:after="0" w:line="1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prospectus is a part of a registration statement on Form S-3 that we filed with the Securities and Exchange Commission (the “SEC” or the “Commission”) using a “shelf” registration process. Under this shelf registration process, we may sell any combination of the securities described in this prospectus from time to time in one or more offerings up to a total dollar amount of $300,000,000. This prospectus provides you with a general description of the securities we may offer.</w:t>
      </w:r>
    </w:p>
    <w:p>
      <w:pPr>
        <w:spacing w:after="0" w:line="12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carefully read both this prospectus and any prospectus supplement together with additional information under the headings “Where You Can Find More Information” and “Incorporation by Reference.”</w:t>
      </w:r>
    </w:p>
    <w:p>
      <w:pPr>
        <w:spacing w:after="0" w:line="133"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other than that contained or incorporated by reference in this prospectus and any applicable prospectus supplement, along with the information contained in any free writing prospectuses we have authorized for use in connection with a specific offering. We take no responsibility for, and can provide no assurance as to the reliability of, any other information that others may give you. This prospectus is an offer to sell only the securities offered hereby, but only under circumstances and in jurisdictions where it is lawful to do so.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3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w:t>
      </w:r>
    </w:p>
    <w:p>
      <w:pPr>
        <w:spacing w:after="0" w:line="12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this prospectus, unless the context otherwise requires, the terms “Neurogene,” the “Registrant,” the “Company,” “we,” “us,” and “our” refer to Neurogene Inc. (formerly Neoleukin Therapeutics, Inc.), a Delaware corporation, and Neurogene Inc., a Nevada corporation, the wholly owned operating subsidiary of the Delaware corporation. The name “Neurogene” is a trademark of the Company in the United States. This report also contains references to registered marks, trademarks and trade names of other companies that are property of their respective holders. All other trademarks, registered marks and trade names appearing in this report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80"/>
          </w:cols>
          <w:pgMar w:left="320" w:top="1440" w:right="399" w:bottom="1440" w:gutter="0" w:footer="0" w:header="0"/>
        </w:sectPr>
      </w:pPr>
    </w:p>
    <w:bookmarkStart w:id="36" w:name="page37"/>
    <w:bookmarkEnd w:id="36"/>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We make “forward-looking statements” within the meaning of Section 27A of the Securities Act and Section 21E of the Securities Exchange Act of 1934, as amended (the “Exchange Act”) in this prospectus and any accompanying prospectus supplement, including the documents that we incorporate by reference herein and therein. These forward-looking statements can generally be identified as such because the context of the statement will include words such as “may,” “will,” “intend,” “plan,” “believe,” “anticipate,” “expect,” “estimate,” “predict,” “potential,” “continue,” “likely,” “target,” “forecast,” or “opportunity,” the negative of these words or other similar words. Similarly, statements that describe our plans, strategies, intentions, expectations, objectives, goals or prospects and other statements that are not historical facts are also forward-looking statements. For such statements, we claim the protection of the Private Securities Litigation Reform Act of 1995. Readers of this prospectus are cautioned not to place undue reliance on these forward-looking statements, which speak only as of the time this prospectus was filed with the SEC. These forward-looking statements are based largely on our expectations and projections about future events and future trends affecting our business and are subject to risks and uncertainties that could cause actual results to differ materially from those anticipated in the forward-looking statements. These risks and uncertainties include, without limitation, the risk factors discussed in the section titled “Risk Factors” and elsewhere and incorporated by reference in this prospectus. Except as required by law, we assume no obligation to update or revise these forward-looking statements for any reason, even if new information becomes available in the future.</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Any forward-looking statements in this prospectus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This prospectus also contains or incorporates by reference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1440" w:right="37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682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6130" cy="66821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75"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18"/>
          <w:szCs w:val="18"/>
          <w:color w:val="auto"/>
        </w:rPr>
        <w:t>We are a clinical-stage biotechnology company committed to overcoming the limitations of conventional gene therapy and turning today’s complex devastating neurological diseases into treatable conditions. By harnessing our proprietary transgene regulation technology, EXACT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(Expression Attenuation via Construct Tuning), we are building a robust and differentiated product portfolio of genetic medicines for rare neurological diseases with high unmet need not otherwise addressable by conventional gene therapy. Our EXACT approach leverages key scientific breakthroughs, including gene transfer technology, microRNA-based genetic circuits, and adeno-associated virus delivery, and is designed to deliver therapeutic levels of transgene to key areas of the brain that underlie neurological disease pathology.</w:t>
      </w:r>
    </w:p>
    <w:p>
      <w:pPr>
        <w:spacing w:after="0" w:line="14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Our first clinical-stage program to utilize the EXACT platform is NGN-401, which is in development for the treatment of Rett syndrome, a disease with a patient population that has a significant unmet need, and that ultimately progresses to substantial neurological and physical impairment and premature death. </w:t>
      </w:r>
      <w:r>
        <w:rPr>
          <w:rFonts w:ascii="Times New Roman" w:cs="Times New Roman" w:eastAsia="Times New Roman" w:hAnsi="Times New Roman"/>
          <w:sz w:val="18"/>
          <w:szCs w:val="18"/>
          <w:color w:val="auto"/>
          <w:highlight w:val="white"/>
        </w:rPr>
        <w:t>We are conducting a Phase 1/2 open-label, multi-center clinical trial of NGN-401 gene therapy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auto"/>
          <w:highlight w:val="white"/>
        </w:rPr>
        <w:t>for the treatment of female patients with classic Rett syndrome that is assessing the safety, tolerability, and efficacy of NGN-401 at a dose of 1E15 vg.</w:t>
      </w:r>
    </w:p>
    <w:p>
      <w:pPr>
        <w:spacing w:after="0" w:line="1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 addition to NGN-401, we have also been pursuing a conventional gene therapy program in a Phase 1/2 clinical trial of NGN-101 for the treatment of CLN5 Batten disease. This patient population has a significant unmet need, and experiences extensive neurological and physical impairment leading to blindness, loss of motor function and early mortality. Our Phase 1/2 clinical trial of NGN-101 was the first trial to assess the treatment of both neurodegenerative and ocular disease manifestations of Batten disease. In November 2024, we announced that the Company does not expect to move forward with the NGN-101 CLN5 Batten disease gene therapy program; given the rarity of the disease, continued investment in the program was predicated on alignment on a streamlined registrational pathway with FDA. To support a streamlined pathway, we submitted a regenerative medicine advanced therapy (“RMAT”) application to the FDA. Despite our belief that we met the standard of preliminary clinical evidence required to obtain an RMAT designation, the RMAT application was denied. We are currently evaluating options for the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Corporation Information</w:t>
      </w:r>
    </w:p>
    <w:p>
      <w:pPr>
        <w:spacing w:after="0" w:line="175"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December 18, 2023, we completed our business combination (the “Reverse Merger”) with Neurogene Inc., a Nevada corporation (“Neurogene OpCo”). In connection with the completion of the Reverse Merger, the Company changed its name from “Neoleukin Therapeutics, Inc.” to “Neurogene Inc.,” and the business conducted by the Company became primarily the business conducted by Neurogene OpCo.</w:t>
      </w:r>
    </w:p>
    <w:p>
      <w:pPr>
        <w:spacing w:after="0" w:line="12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Our principal executive offices are located at 535 W 24th St., 5th Floor, New York, NY 10011 and our telephone number is (855) 508-3568. Our website is www.neurogene.com. Information contained on or accessible through our website is not a part of this prospectus supplement, and the inclusion of our website address in this prospectus supplement is an inactive textual reference only.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17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We are a “smaller reporting company,” meaning that the market value of our Common Stock held by non-affiliates is less than $700.0 million and our annual revenue is less than $100.0 million during the most recently completed fiscal year. We will continue to be a smaller reporting company so long as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As a smaller reporting company, we may choose to present only the two most recent fiscal years of audited financial statements in our Annual Report and smaller reporting companies have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38" w:name="page39"/>
    <w:bookmarkEnd w:id="38"/>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The prospectus supplement applicable to each offering of securities will contain a discussion of the risks applicable to an investment in our securities. Prior to making a decision about investing in our securities, you should carefully consider the risks, uncertainties and other factors described in our most recent Annual Report on Form 10-K, as supplemented and updated by subsequent Quarterly Reports on Form 10-Q and Current Reports on Form 8-K that we have filed or will file with the SEC, and in other documents which are incorporated by reference into this prospectus, as updated by our subsequent filings under the Exchange Act, and the risk factors and other information contained in any applicable prospectus supplement and any applicable free writing prospectus. It is not possible to predict or identify all such risks; our business, financial condition, results of operations and future growth prospects could also be materially and adversely affected by factors, events or uncertainties that are not presently known to us or that we currently do not consider to present significant risks to our operations. Therefore, you should not consider the risks and uncertainties described in the documents incorporated by reference herein to be a complete statement of all the potential risks or uncertainties that we face. For more information, see “</w:t>
      </w:r>
      <w:r>
        <w:rPr>
          <w:rFonts w:ascii="Times New Roman" w:cs="Times New Roman" w:eastAsia="Times New Roman" w:hAnsi="Times New Roman"/>
          <w:sz w:val="18"/>
          <w:szCs w:val="18"/>
          <w:i w:val="1"/>
          <w:iCs w:val="1"/>
          <w:color w:val="auto"/>
        </w:rPr>
        <w:t>Information Incorporated by Reference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retain broad discretion over the use of the net proceeds from the sale of the securities offered hereby. Unless otherwise specified in a prospectus supplement accompanying this prospectus, the net proceeds from the sale by us of the securities to which this prospectus relates will be used as working capital, including continuing to advance our pipeline through preclinical studies and clinical trials, and for general corporate purposes. Our expected use of proceeds from the sale of the securities offered hereby represents our current intentions based on our present plans and business conditions, which could change in the future as our plans and business conditions evolve. As of the date of this prospectus, we cannot predict with certainty all of the particular uses for the proceeds to be received from the sale of the securities offered hereby or the amounts that we will actually spend on the uses set forth above.</w:t>
      </w:r>
    </w:p>
    <w:p>
      <w:pPr>
        <w:spacing w:after="0" w:line="133"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Pending the use of the net proceeds, we may invest the proceeds in a variety of capital preservation investments, including interest-bearing, investment-grade securities, certificates of deposit or government securities. When we offer and sell the securities to which this prospectus relates, the prospectus supplement related to such offering will set forth our intended use of the proceeds, if any, received from the sale of such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20"/>
          </w:cols>
          <w:pgMar w:left="320" w:top="1440" w:right="359" w:bottom="1440" w:gutter="0" w:footer="0" w:header="0"/>
        </w:sectPr>
      </w:pPr>
    </w:p>
    <w:bookmarkStart w:id="40" w:name="page41"/>
    <w:bookmarkEnd w:id="40"/>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SECURITIES WE MAY OFFER</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prospectus contains summary descriptions of the securities we may offer from time to time. These summary descriptions are not meant to be complete descriptions of each security. The particular terms of any security will be described in the applicable prospectus supplement.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following description of our capital stock is intended as a summary only and therefore is not a complete description of our capital stock. This description is based upon, and is qualified by reference to, our amended and restated certificate of incorporation (“charter”), our amended and restated bylaws (“bylaws”) and applicable provisions of Delaware corporate law. You should read our charter and our bylaws, copies of which are filed as exhibits to the registration statement of which this prospectus forms a part.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 Stock</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450,000,000 shares of common stock, par value $0.000001 per share (“Common Stock”), and 50,000,000 shares of undesignated preferred stock, par value $0.000001 per share (“Preferred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Our charter authorizes the issuance of up to 450,000,000 shares of our Common Stock. All outstanding shares of our Common Stock are validly issued, fully paid and nonassessable.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7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submitted to a vote of stockholders, except for matters relating solely to the terms of Preferred Stock on which holders of our Common Stock shall not be entitled to vote as provided in our charter. A majority vote of the shares present in person or represented by proxy and entitled to vote on the subject matter is required for the holders of our Common Stock to take action on all matters, except as otherwise required by law, our charter or our bylaws. Our charter does not provide for cumulative voting in the election of directors.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7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Distributions on Liquidation</w:t>
      </w:r>
    </w:p>
    <w:p>
      <w:pPr>
        <w:spacing w:after="0" w:line="17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Preferred Stock.</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and Preferences</w:t>
      </w:r>
    </w:p>
    <w:p>
      <w:pPr>
        <w:spacing w:after="0" w:line="173"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our Common Stock. The rights, preferences and privileges of the holders of Common Stock are subject to, and may be adversely affected by, the rights of the holders of shares of any series of Preferred Stock that we may designate in the future.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Under the terms of our charter, our board of directors has the authority, without further action by our stockholders, to issue up to 50,000,000 shares of Preferred Stock in one or more series, to establish from time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20"/>
          </w:cols>
          <w:pgMar w:left="320" w:top="1440" w:right="359" w:bottom="1440" w:gutter="0" w:footer="0" w:header="0"/>
        </w:sectPr>
      </w:pPr>
    </w:p>
    <w:bookmarkStart w:id="41" w:name="page42"/>
    <w:bookmarkEnd w:id="41"/>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time the number of shares to be included in each such series, to fix the dividend, voting and other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may adversely affect the market price of our Common Stock and the voting and other rights of the holders of our Common Stock.</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Provisions of Our Charter and Bylaws</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charter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w:t>
      </w:r>
    </w:p>
    <w:p>
      <w:pPr>
        <w:spacing w:after="0" w:line="118" w:lineRule="exact"/>
        <w:rPr>
          <w:sz w:val="20"/>
          <w:szCs w:val="20"/>
          <w:color w:val="auto"/>
        </w:rPr>
      </w:pPr>
    </w:p>
    <w:p>
      <w:pPr>
        <w:ind w:left="660" w:right="20" w:hanging="328"/>
        <w:spacing w:after="0" w:line="26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Issuance of undesignated Preferred Stock</w:t>
      </w:r>
      <w:r>
        <w:rPr>
          <w:rFonts w:ascii="Times New Roman" w:cs="Times New Roman" w:eastAsia="Times New Roman" w:hAnsi="Times New Roman"/>
          <w:sz w:val="18"/>
          <w:szCs w:val="18"/>
          <w:color w:val="auto"/>
        </w:rPr>
        <w:t>: Under our charter, our board of directors has the authority, without further action by the stockholders,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issue up to 50,000,000 shares of undesignated Preferred Stock with rights and preferences, including voting rights, designated from time to time by our board of directors. The existence of authorized but unissued shares of Preferred Stock enables our board of directors to make it more difficult to attempt to obtain control of us by means of a merger, tender offer, proxy contest or otherwise.</w:t>
      </w:r>
    </w:p>
    <w:p>
      <w:pPr>
        <w:spacing w:after="0" w:line="122" w:lineRule="exact"/>
        <w:rPr>
          <w:rFonts w:ascii="Times New Roman" w:cs="Times New Roman" w:eastAsia="Times New Roman" w:hAnsi="Times New Roman"/>
          <w:sz w:val="18"/>
          <w:szCs w:val="18"/>
          <w:color w:val="auto"/>
        </w:rPr>
      </w:pPr>
    </w:p>
    <w:p>
      <w:pPr>
        <w:ind w:left="660" w:right="280" w:hanging="328"/>
        <w:spacing w:after="0" w:line="26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Classified board</w:t>
      </w:r>
      <w:r>
        <w:rPr>
          <w:rFonts w:ascii="Times New Roman" w:cs="Times New Roman" w:eastAsia="Times New Roman" w:hAnsi="Times New Roman"/>
          <w:sz w:val="18"/>
          <w:szCs w:val="18"/>
          <w:color w:val="auto"/>
        </w:rPr>
        <w:t>: Our charter establishes a classified board of directors consisting of three classes of directors, with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Only one class of directors is elected at each annual meeting of our stockholders, with the other classes continuing for the remainder of their respective three-year terms. This provision may have the effect of delaying a change of control of our board of directors.</w:t>
      </w:r>
    </w:p>
    <w:p>
      <w:pPr>
        <w:spacing w:after="0" w:line="116"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Election and removal of directors and board vacancies</w:t>
      </w:r>
      <w:r>
        <w:rPr>
          <w:rFonts w:ascii="Times New Roman" w:cs="Times New Roman" w:eastAsia="Times New Roman" w:hAnsi="Times New Roman"/>
          <w:sz w:val="18"/>
          <w:szCs w:val="18"/>
          <w:color w:val="auto"/>
        </w:rPr>
        <w:t>: Our bylaws provide that directors will be elected by a plurality vote. Our charter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bylaws also provide that our board of directors has the right to increase or decrease the size of the board to fill vacancies on the board. Directors may be removed only for cause by the affirmative vote of the holders of at least 66 2/3% of the votes that all our stockholders would be entitled to cast in an annual election of directors. Only our board of directors is authorized to fill vacant directorships. In addition, the number of directors constituting our board of directors may be set only by resolution adopted by a majority of the whole board of directors. These provisions prevent stockholders from increasing the size of our board of directors and gaining control of our board of directors by filling the resulting vacancies with its own nominees.</w:t>
      </w:r>
    </w:p>
    <w:p>
      <w:pPr>
        <w:spacing w:after="0" w:line="128"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Requirements for advance notification of stockholder nominations and proposals</w:t>
      </w:r>
      <w:r>
        <w:rPr>
          <w:rFonts w:ascii="Times New Roman" w:cs="Times New Roman" w:eastAsia="Times New Roman" w:hAnsi="Times New Roman"/>
          <w:sz w:val="18"/>
          <w:szCs w:val="18"/>
          <w:color w:val="auto"/>
        </w:rPr>
        <w:t>: Our bylaws establish advance notice procedures with respect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 proposals and the nomination of candidates for election as directors that specify certain requirements as to the timing, form and content of a stockholder’s notice. Business that may be conducted at an annual meeting of stockholders will be limited to those matters properly brought before the meeting. These provisions may make it more difficult for our stockholders to bring matters before our annual meeting of stockholders or to nominate directors at annual meetings of stockholders.</w:t>
      </w:r>
    </w:p>
    <w:p>
      <w:pPr>
        <w:spacing w:after="0" w:line="125" w:lineRule="exact"/>
        <w:rPr>
          <w:rFonts w:ascii="Times New Roman" w:cs="Times New Roman" w:eastAsia="Times New Roman" w:hAnsi="Times New Roman"/>
          <w:sz w:val="18"/>
          <w:szCs w:val="18"/>
          <w:color w:val="auto"/>
        </w:rPr>
      </w:pPr>
    </w:p>
    <w:p>
      <w:pPr>
        <w:ind w:left="660" w:right="40" w:hanging="328"/>
        <w:spacing w:after="0" w:line="26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be taken by a vote of the stockholders at an annual or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22" w:lineRule="exact"/>
        <w:rPr>
          <w:rFonts w:ascii="Times New Roman" w:cs="Times New Roman" w:eastAsia="Times New Roman" w:hAnsi="Times New Roman"/>
          <w:sz w:val="18"/>
          <w:szCs w:val="18"/>
          <w:color w:val="auto"/>
        </w:rPr>
      </w:pPr>
    </w:p>
    <w:p>
      <w:pPr>
        <w:ind w:left="660" w:right="240" w:hanging="328"/>
        <w:spacing w:after="0" w:line="28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No stockholder ability to call special meetings</w:t>
      </w:r>
      <w:r>
        <w:rPr>
          <w:rFonts w:ascii="Times New Roman" w:cs="Times New Roman" w:eastAsia="Times New Roman" w:hAnsi="Times New Roman"/>
          <w:sz w:val="18"/>
          <w:szCs w:val="18"/>
          <w:color w:val="auto"/>
        </w:rPr>
        <w:t>: Our bylaws provide that only a majority of the members of our board of directors then in office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able to call special meetings of stockholders and only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matters set forth in the notice of the special meeting may be considered or acted upon at a special meeting of stockholders.</w:t>
      </w:r>
    </w:p>
    <w:p>
      <w:pPr>
        <w:spacing w:after="0" w:line="167" w:lineRule="exact"/>
        <w:rPr>
          <w:sz w:val="20"/>
          <w:szCs w:val="20"/>
          <w:color w:val="auto"/>
        </w:rPr>
      </w:pPr>
    </w:p>
    <w:p>
      <w:pPr>
        <w:ind w:left="660" w:right="80" w:hanging="328"/>
        <w:spacing w:after="0" w:line="255"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Amendments to certificate of incorporation and bylaws</w:t>
      </w:r>
      <w:r>
        <w:rPr>
          <w:rFonts w:ascii="Times New Roman" w:cs="Times New Roman" w:eastAsia="Times New Roman" w:hAnsi="Times New Roman"/>
          <w:sz w:val="18"/>
          <w:szCs w:val="18"/>
          <w:color w:val="auto"/>
        </w:rPr>
        <w:t>: As required by the Delaware General Corporation Law (the “DGCL”), any amendment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our charter will be required to be approved by a majority of our board of directors as well as, if required by law or the charter, a majority of the outstanding shares entitled to vote on the amendment and a majority of the outstanding shares of each class entitled to vote thereon as a class, except that the amendment of provisions to board classification, election, removal and vacancies, stockholder action, certificate amendments, bylaw amendments, liability of directors, indemnification of directors and officers, and Delaware exclusive forum must be approved by not less than 66 2/3% of the outstanding shares entitled to vote on the amendment, voting together as a single class. Any amendment to our bylaws must be approved by either a majority of the authorized number of directors constituting the board of directors or not less than 66 2/3% of the outstanding shares entitled to vote on the amendment, voting together as a single class.</w:t>
      </w:r>
    </w:p>
    <w:p>
      <w:pPr>
        <w:spacing w:after="0" w:line="13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These provisions are designed to enhance the likelihood of continued stability in the composition of our board of directors and its policies, to discourage certain types of transactions that may involve an actual or threatened acquisition of our company and to reduce our vulnerability to an unsolicited acquisition proposal. We also designed these provisions to discourage certain tactics that may be used in proxy fights. However, these provisions could have the effect of discouraging others from making tender offers for our shares and, as a consequence, they may also reduce fluctuations in the market price of our shares that could result from actual or rumored takeover attempts.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advance by a majority of the independent directors or by the holders of at least two-thirds of the outstanding disinterested shares. The application of Section 203 of the DGCL could also have the effect of delaying or preventing a change of control of 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Choice of Forum</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charter requires that the Court of Chancery of the State of Delaware be the exclusive forum for the following types of actions or proceedings under Delaware statutory or common law: (1) any derivative action or proceeding brought on our behalf; (2) any action asserting a claim of breach of a fiduciary duty owed by any director, officer or other employee to us or our stockholders; (3) any action asserting a claim against us or any director or officer or other employee arising pursuant to the DGCL or our charter or bylaws; or (4) any action asserting a claim against us that is governed by the internal affairs doctrine. This provision would not apply to claims brought to enforce a duty or liability created by the Exchange Act, or any other claim for which the federal courts have exclusive jurisdiction. Our bylaws provide further that the federal district courts of the United States will be the exclusive forum for resolving any complaint asserting a cause of action arising under the Securities Act. The forum selection provisions will not apply to claims brought to enforce a duty or liability created by the Exchange Act. It is possible that a court could find that such provisions are inapplicable for a particular claim or action or that such provisions are unenforceable. In addition, under the Securities Act, federal courts have concurrent jurisdiction over all suits brought to enforce any duty or liability created by the Securities Act, and investors cannot waive compliance with the federal securities laws and the rules and regulations thereunder. Although we believe these provisions benefit us by providing increased consistency in the application of Delaware law for the specified types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actions and proceedings, the provisions may have the effect of discouraging lawsuits against us or our directors or officers.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 Agreements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Registration Rights Agreement</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connection with our public offering of Common Stock on September 19, 2016, we entered into a registration rights agreement (the “2016 Registration Rights Agreement”) with certain holders of our securities. Under the 2016 Registration Rights Agreement, we agree that, if at any time and from time to time after December 19, 2016, those investors demand that we register their shares of our Common Stock for resale under the Securities Act, we would be obligated to effect such registration. We have registered an aggregate of approximately 1,292,268 shares (after giving effect to the 1-for-5 reverse stock split in September 2023 and the subsequent 1-for-4 reverse stock split in December 2023) for resale, from time to time, by such stockholders. Our registration obligations under the 2016 Registration Rights Agreement covers all shares now held or hereafter acquired by the stockholders who are a party to such agreement and is in effect until the earlier of (a) the date when all of the 2016 Registrable Securities (as defined in the 2016 Registration Rights Agreement) subject to the demand registration rights under the 2016 Registration Rights Agreement have been sold pursuant to an effective registration statement; (b) the 2016 Registrable Securities have been sold pursuant to Rule 144 under the Securities Act (or other similar rule); (c) the 2016 Registrable Securities may be resold without limitations as to volume or manner of sale pursuant to Rule 144 under the Securities Act; or (d) 10 years after the date of the 2016 Registration Rights Agreement, and includes our obligation to facilitate certain underwritten public offerings of our Common Stock by these stockholders in the future.</w:t>
      </w:r>
    </w:p>
    <w:p>
      <w:pPr>
        <w:spacing w:after="0" w:line="13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2016 Registration Rights Agreement does not purport to be complete and is qualified in its entirety by the full text of the 2016 Registration Rights Agreement, a copy of which is filed as Exhibit 4.2 to this Registration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Registration Rights Agreement</w:t>
      </w:r>
    </w:p>
    <w:p>
      <w:pPr>
        <w:spacing w:after="0" w:line="17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connection with the closing of a private placement on November 5, 2024 (the “PIPE”), we entered into a registration rights agreement (the “2024 Registration Rights Agreement”) with certain institutional accredited investors (each, a “Selling Stockholder” and collectively, the “the Selling Stockholders”), pursuant to which, among other things, we agreed to file a registration statement covering the resale of the shares of Common Stock issued in the PIPE and the shares of Common Stock underlying the pre-funded warrants (the “Pre-Funded Warrants”) issued in the PIPE (the “2024 Registrable Securities”) by no later than the 30th calendar day following the closing date of the PIPE. In addition, we have agreed to use our best efforts to cause such registration statement to become effective as soon as practicable, but in any event no later than the earlier of (a) the 105th calendar day following the closing date or, (b) the fifth business day after the date we are notified (orally or in writing, whichever is earlier) by the SEC that the registration statement will not be “reviewed” or will not be subject to further review. We are required to use our best efforts to keep such registration statement continuously effective until the date that all 2024 Registrable Securities covered by such registration statement (i) have been sold, thereunder or pursuant to Rule 144, or</w:t>
      </w:r>
    </w:p>
    <w:p>
      <w:pPr>
        <w:spacing w:after="0" w:line="6" w:lineRule="exact"/>
        <w:rPr>
          <w:sz w:val="20"/>
          <w:szCs w:val="20"/>
          <w:color w:val="auto"/>
        </w:rPr>
      </w:pPr>
    </w:p>
    <w:p>
      <w:pPr>
        <w:ind w:firstLine="8"/>
        <w:spacing w:after="0" w:line="255"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be sold without volume or manner-of-sale restrictions pursuant to Rule 144 and without the requirement for us to be in compliance with the current public information requirement under Rule 144. We will be responsible for all fees and expenses incurred in connection with the registration of the 2024 Registrable Securities.</w:t>
      </w:r>
    </w:p>
    <w:p>
      <w:pPr>
        <w:spacing w:after="0" w:line="13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2024 Registration Rights Agreement requires us to provide certain customary indemnification to the Selling Stockholders in connection with the registration statement.</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2024 Registration Rights Agreement does not purport to be complete and is qualified in its entirety by the full text of the 2024 Registration Rights Agreement, a copy of which is filed as Exhibit 4.3 to this registration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Equiniti Trust Company, LLC serves as the transfer agent and registrar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20"/>
          </w:cols>
          <w:pgMar w:left="320" w:top="1440" w:right="359" w:bottom="1440" w:gutter="0" w:footer="0" w:header="0"/>
        </w:sectPr>
      </w:pPr>
    </w:p>
    <w:bookmarkStart w:id="44" w:name="page45"/>
    <w:bookmarkEnd w:id="4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is listed on Nasdaq under the symbol “NGNE.”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paragraphs below describe the general terms and provisions of the debt securities we may issue. When we offer to sell a particular series of debt securities, we will describe the specific terms of the securities in a supplement to this prospectus, including any additional covenants or changes to existing covenants relating to such series. The prospectus supplement also will indicate whether the general terms and provisions described in this prospectus apply to a particular series of debt securities. You should read the actual indenture if you do not fully understand a term or the way we use it in this prospectus.</w:t>
      </w:r>
    </w:p>
    <w:p>
      <w:pPr>
        <w:spacing w:after="0" w:line="11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2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 or indicated which material provisions will be described in the related prospectus supplement. The prospectus supplement relating to any particular securities offered will describe the specific terms of the securities, which may be in addition to or different from the general terms summarized in this prospectus. [We have included the form of the indenture as an exhibit to our registration statement of which this prospectus is a part, and it is incorporated into this prospectus by reference.]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to find out how you can obtain a copy of those documents. References below to an “indenture” are references to the indenture, as supplemented, under which a particular series of debt securities is issued. As used under this caption, the term “debt securities” includes the debt securities being offered by this prospectus and all other debt securities issued by us under the indenture.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indenture:</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limit the amount of debt securities that we may issue;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issue debt securities in one or more series;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require us to issue all of the debt securities of a series at the same time; and</w:t>
      </w:r>
    </w:p>
    <w:p>
      <w:pPr>
        <w:spacing w:after="0" w:line="171" w:lineRule="exact"/>
        <w:rPr>
          <w:rFonts w:ascii="Times New Roman" w:cs="Times New Roman" w:eastAsia="Times New Roman" w:hAnsi="Times New Roman"/>
          <w:sz w:val="18"/>
          <w:szCs w:val="18"/>
          <w:color w:val="auto"/>
        </w:rPr>
      </w:pPr>
    </w:p>
    <w:p>
      <w:pPr>
        <w:ind w:right="1000" w:firstLine="332"/>
        <w:spacing w:after="0" w:line="438" w:lineRule="auto"/>
        <w:tabs>
          <w:tab w:leader="none" w:pos="64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us to reopen a series to issue additional debt securities without the consent of the holders of the debt securities of such series. The prospectus supplement for each offering of debt securities will provide the following terms, where applicable:</w:t>
      </w: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debt securities and whether they are senior, senior subordinated or subordinated debt securities;</w:t>
      </w:r>
    </w:p>
    <w:p>
      <w:pPr>
        <w:spacing w:after="0" w:line="17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debt securities being offered and any limit on their aggregate principal amount, and, if the series is to be issued at a discount from its face amount, the method of computing the accretion of such discount;</w:t>
      </w:r>
    </w:p>
    <w:p>
      <w:pPr>
        <w:spacing w:after="0" w:line="10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debt securities will be issued, expressed as a percentage of the principal and, if other than the full principal amount thereof, the portion of the principal amount thereof payable upon declaration of acceleration of the maturity thereof or, if applicable, the portion of the principal amount of such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60"/>
          </w:cols>
          <w:pgMar w:left="320" w:top="1440" w:right="419" w:bottom="1440" w:gutter="0" w:footer="0" w:header="0"/>
        </w:sectPr>
      </w:pPr>
    </w:p>
    <w:bookmarkStart w:id="45" w:name="page46"/>
    <w:bookmarkEnd w:id="45"/>
    <w:p>
      <w:pPr>
        <w:spacing w:after="0" w:line="140"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securities that is convertible into common stock or preferred stock or the method by which any such portion shall be determined;</w:t>
      </w:r>
    </w:p>
    <w:p>
      <w:pPr>
        <w:spacing w:after="0" w:line="171" w:lineRule="exact"/>
        <w:rPr>
          <w:sz w:val="20"/>
          <w:szCs w:val="20"/>
          <w:color w:val="auto"/>
        </w:rPr>
      </w:pPr>
    </w:p>
    <w:p>
      <w:pPr>
        <w:ind w:left="328" w:right="40" w:hanging="328"/>
        <w:spacing w:after="0" w:line="261" w:lineRule="auto"/>
        <w:tabs>
          <w:tab w:leader="none" w:pos="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convertible, the terms on which such debt securities are convertible, including the initial conversion price or rate or the method of calculation, how and when the conversion price or exchange ratio may be adjusted, whether conversion or exchange is mandatory, at the option of the holder or at our option, the conversion or exchange period, and any other provision in relation thereto, and any applicable limitations on the ownership or transferability of common stock or preferred stock received on conversion;</w:t>
      </w:r>
    </w:p>
    <w:p>
      <w:pPr>
        <w:spacing w:after="0" w:line="1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on which the principal of the debt securities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or variable interest rate or rates of the debt securities, or the method by which the interest rate or rates is determined;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or the method for determining the date or dates, from which interest will accrue;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interest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 dates for interest payment dates, or the method by which we will determine those dates;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to whom interest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upon which interest will be calculated if other than that of a 360-day year of twelve 30-day months;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securing the performance of our obligations under the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premium, if any, and interest on, the debt securities will be payable;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debt securities may be surrendered for registration of transfer or conversion or exchange;</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notices or demands to or upon us in respect of the debt securities and the applicable indenture may be served;</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regarding our right to redeem or purchase debt securities or the right of holders to require us to redeem or purchase debt securities;</w:t>
      </w:r>
    </w:p>
    <w:p>
      <w:pPr>
        <w:spacing w:after="0" w:line="17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or obligation we have to redeem, repay or purchase the debt securities pursuant to any sinking fund or analogous provision;</w:t>
      </w:r>
    </w:p>
    <w:p>
      <w:pPr>
        <w:spacing w:after="0" w:line="171" w:lineRule="exact"/>
        <w:rPr>
          <w:rFonts w:ascii="Times New Roman" w:cs="Times New Roman" w:eastAsia="Times New Roman" w:hAnsi="Times New Roman"/>
          <w:sz w:val="18"/>
          <w:szCs w:val="18"/>
          <w:color w:val="auto"/>
        </w:rPr>
      </w:pPr>
    </w:p>
    <w:p>
      <w:pPr>
        <w:ind w:left="328" w:hanging="328"/>
        <w:spacing w:after="0" w:line="274" w:lineRule="auto"/>
        <w:tabs>
          <w:tab w:leader="none" w:pos="323"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currency or currencies (including any composite currency) in which the debt securities are denominated and payable if other than United States dollars, and the currency or currencies (including any composite currency) in which principal, premium, if any, and interest, if any, will be payable, and if such payments may be made in a currency other than that in which the debt securities are denominated, the manner for determining such payments, including the time and manner of determining the exchange rate between the currency in which such securities are denominated and the currency in which such securities or any of them may be paid, and any additions to, modifications of or deletions from the terms of the debt securities to provide for or to facilitate the issuance of debt securities denominated or payable in a currency other than U.S. dollars;</w:t>
      </w:r>
    </w:p>
    <w:p>
      <w:pPr>
        <w:spacing w:after="0" w:line="118" w:lineRule="exact"/>
        <w:rPr>
          <w:rFonts w:ascii="Times New Roman" w:cs="Times New Roman" w:eastAsia="Times New Roman" w:hAnsi="Times New Roman"/>
          <w:sz w:val="17"/>
          <w:szCs w:val="17"/>
          <w:color w:val="auto"/>
        </w:rPr>
      </w:pPr>
    </w:p>
    <w:p>
      <w:pPr>
        <w:ind w:left="328" w:right="400" w:hanging="328"/>
        <w:spacing w:after="0" w:line="282" w:lineRule="auto"/>
        <w:tabs>
          <w:tab w:leader="none" w:pos="32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premium, if any, or interest on, the debt securities may be determined according to an index, formula or other method and how such amounts will be determined;</w:t>
      </w:r>
    </w:p>
    <w:p>
      <w:pPr>
        <w:spacing w:after="0" w:line="107"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in registered form, bearer form or both, and the terms of these forms;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8"/>
          </w:cols>
          <w:pgMar w:left="652" w:top="1440" w:right="359" w:bottom="1440" w:gutter="0" w:footer="0" w:header="0"/>
        </w:sectPr>
      </w:pPr>
    </w:p>
    <w:bookmarkStart w:id="46" w:name="page47"/>
    <w:bookmarkEnd w:id="46"/>
    <w:p>
      <w:pPr>
        <w:spacing w:after="0" w:line="140" w:lineRule="exact"/>
        <w:rPr>
          <w:sz w:val="20"/>
          <w:szCs w:val="20"/>
          <w:color w:val="auto"/>
        </w:rPr>
      </w:pPr>
    </w:p>
    <w:p>
      <w:pPr>
        <w:ind w:left="660" w:right="2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whole or in part in the form of a global security and, if applicable, the identity of the depositary for such global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 for electronic issuance of the debt securities or issuance of the debt securities in uncertificated form;</w:t>
      </w:r>
    </w:p>
    <w:p>
      <w:pPr>
        <w:spacing w:after="0" w:line="17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upon what terms the debt securities of such series may be defeased or discharged, if different from the provisions set forth in the indenture for the series to which the supplemental indenture or authorizing resolution relates;</w:t>
      </w:r>
    </w:p>
    <w:p>
      <w:pPr>
        <w:spacing w:after="0" w:line="107" w:lineRule="exact"/>
        <w:rPr>
          <w:rFonts w:ascii="Times New Roman" w:cs="Times New Roman" w:eastAsia="Times New Roman" w:hAnsi="Times New Roman"/>
          <w:sz w:val="18"/>
          <w:szCs w:val="18"/>
          <w:color w:val="auto"/>
        </w:rPr>
      </w:pPr>
    </w:p>
    <w:p>
      <w:pPr>
        <w:ind w:left="660" w:right="68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granting special rights to holders of securities upon the occurrence of such events as specified in the applicable prospectus supplement;</w:t>
      </w:r>
    </w:p>
    <w:p>
      <w:pPr>
        <w:spacing w:after="0" w:line="10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our events of default or covenants or other provisions set forth in the indenture for the series to which the supplemental indenture or authorizing resolution relates;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debt securities, which may be different from the terms set forth in this prospectus.</w:t>
      </w:r>
    </w:p>
    <w:p>
      <w:pPr>
        <w:spacing w:after="0" w:line="17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may issue debt securities at a discount below their principal amount and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2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Neither the DGCL nor our governing instruments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will also describe any material covenants to which a series of debt securities will be subject and the applicability of those covenants to any of our subsidiaries to be restricted thereby, which are referred to herein as “restricted subsidiaries.” The applicable prospectus supplement will also describe provisions for restricted subsidiaries to cease to be restricted by those covenants.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when we refer to “events of default” as defined in the indentures with respect to any series of debt securities, we mean:</w:t>
      </w:r>
    </w:p>
    <w:p>
      <w:pPr>
        <w:spacing w:after="0" w:line="108" w:lineRule="exact"/>
        <w:rPr>
          <w:sz w:val="20"/>
          <w:szCs w:val="20"/>
          <w:color w:val="auto"/>
        </w:rPr>
      </w:pPr>
    </w:p>
    <w:p>
      <w:pPr>
        <w:ind w:left="660" w:right="10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interest on any debt security of such series when the same becomes due and payable and the continuance of any such failure for a period of 30 days;</w:t>
      </w:r>
    </w:p>
    <w:p>
      <w:pPr>
        <w:spacing w:after="0" w:line="107" w:lineRule="exact"/>
        <w:rPr>
          <w:rFonts w:ascii="Times New Roman" w:cs="Times New Roman" w:eastAsia="Times New Roman" w:hAnsi="Times New Roman"/>
          <w:sz w:val="18"/>
          <w:szCs w:val="18"/>
          <w:color w:val="auto"/>
        </w:rPr>
      </w:pPr>
    </w:p>
    <w:p>
      <w:pPr>
        <w:ind w:left="660" w:right="72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pay the principal or premium of any debt security of such series when the same becomes due and payable at maturity, upon acceleration, redemption or otherwise;</w:t>
      </w:r>
    </w:p>
    <w:p>
      <w:pPr>
        <w:spacing w:after="0" w:line="107" w:lineRule="exact"/>
        <w:rPr>
          <w:rFonts w:ascii="Times New Roman" w:cs="Times New Roman" w:eastAsia="Times New Roman" w:hAnsi="Times New Roman"/>
          <w:sz w:val="18"/>
          <w:szCs w:val="18"/>
          <w:color w:val="auto"/>
        </w:rPr>
      </w:pPr>
    </w:p>
    <w:p>
      <w:pPr>
        <w:ind w:left="660" w:right="60" w:hanging="328"/>
        <w:spacing w:after="0" w:line="25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any restricted subsidiary to comply with any of its agreements or covenants in, or provisions of, the debt securities of such series or the indenture (as they relate thereto) and such failure continues for a period of 60 days after our receipt of notice of the default from the trustee or from the holders of at least 25 percent in aggregate principal amount of the then outstanding debt securities of that series (except in the case of a default with respect to the provisions of the indenture regarding the consolidation, merger, sale, lease, conveyance or other disposition of all or substantially all of the assets of us (or any other provision specified in the applicable supplemental indenture or authorizing resolution), which will constitute an event of default with notice but without passage of time);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1440" w:right="359" w:bottom="1440" w:gutter="0" w:footer="0" w:header="0"/>
        </w:sectPr>
      </w:pPr>
    </w:p>
    <w:bookmarkStart w:id="47" w:name="page48"/>
    <w:bookmarkEnd w:id="47"/>
    <w:p>
      <w:pPr>
        <w:spacing w:after="0" w:line="140" w:lineRule="exact"/>
        <w:rPr>
          <w:sz w:val="20"/>
          <w:szCs w:val="20"/>
          <w:color w:val="auto"/>
        </w:rPr>
      </w:pPr>
    </w:p>
    <w:p>
      <w:pPr>
        <w:ind w:left="660" w:right="38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occur with respect to Neurogene or any restricted subsidiary of Neurogene that is a significant subsidiary (as defined in the indenture).</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with respect to debt securities of any series outstanding, then the trustee or the holders of 25% or more in principal amount of the outstanding debt securities of that series will have the right to declare the principal amount of all the debt securities of that series to be due and payable immediately. However, the holders of at least a majority in principal amount of outstanding debt securities of such series may rescind and annul such declaration and its consequences, except an acceleration due to nonpayment of principal or interest on such series, if the rescission would not conflict with any judgment or decree and if all existing events of default with respect to such series have been cured or waived.</w:t>
      </w:r>
    </w:p>
    <w:p>
      <w:pPr>
        <w:spacing w:after="0" w:line="1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indenture also provides that the holders of at least a majority in principal amount of the outstanding debt securities of any series, by notice to the trustee, may, on behalf of all holders, waive any existing default and its consequences with respect to such series of debt securities, other than any event of default in payment of principal or interest.</w:t>
      </w:r>
    </w:p>
    <w:p>
      <w:pPr>
        <w:spacing w:after="0" w:line="12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indenture will require the trustee to give notice to the holders of debt securities within 90 days after the trustee obtains knowledge of a default that has occurred and is continuing. However, the trustee may withhold notice to the holders of any series of debt securities of any default, except a default in payment of principal or interest, if any, with respect to such series of debt securities, if the trustee considers it in the interest of the holders of such series of debt securities to do so.</w:t>
      </w:r>
    </w:p>
    <w:p>
      <w:pPr>
        <w:spacing w:after="0" w:line="12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holders of a majority of the outstanding principal amount of the debt securities of any series will have the right to direct the time, method and place of conducting any proceedings for any remedy available to the trustee with respect to such series, subject to limitations specified in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Supplement and Waiver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Without notice to or the consent of any holder, we and the trustee may amend or supplement the indenture or the debt securities of a series:</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omission, defect or inconsistency;</w:t>
      </w:r>
    </w:p>
    <w:p>
      <w:pPr>
        <w:spacing w:after="0" w:line="171" w:lineRule="exact"/>
        <w:rPr>
          <w:rFonts w:ascii="Times New Roman" w:cs="Times New Roman" w:eastAsia="Times New Roman" w:hAnsi="Times New Roman"/>
          <w:sz w:val="18"/>
          <w:szCs w:val="18"/>
          <w:color w:val="auto"/>
        </w:rPr>
      </w:pPr>
    </w:p>
    <w:p>
      <w:pPr>
        <w:ind w:left="660" w:right="8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provisions of the indenture regarding the consolidation, merger, sale, lease, conveyance or other disposition of all or substantially all of our assets;</w:t>
      </w:r>
    </w:p>
    <w:p>
      <w:pPr>
        <w:spacing w:after="0" w:line="10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specific provisions of the indenture shall not apply to a series of debt securities not previously issued or to make a change to specific provisions of the indenture that only applies to any series of debt securities not previously issued or to additional debt securities of a series not previously issued;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create a series and establish its terms;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debt securities in addition to or in place of certificated debt securities;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a guarantor in respect of any series which, in accordance with the terms of the indenture applicable to such series, ceases to be liable in respect of its guarantee;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 guarantor subsidiary in respect of any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any series of debt securities;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Neurogene for the benefit of the holders or surrender any right or power conferred upon Neurogene;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with respect to the securities;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 (the “Trust Indenture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1440" w:right="359" w:bottom="1440" w:gutter="0" w:footer="0" w:header="0"/>
        </w:sectPr>
      </w:pPr>
    </w:p>
    <w:bookmarkStart w:id="48" w:name="page49"/>
    <w:bookmarkEnd w:id="48"/>
    <w:p>
      <w:pPr>
        <w:spacing w:after="0" w:line="14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holders;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provisions of the indenture to the final offering document in respect of any series of debt securities.</w:t>
      </w:r>
    </w:p>
    <w:p>
      <w:pPr>
        <w:spacing w:after="0" w:line="17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indenture will provide that we and the trustee may amend or supplement any provision of the debt securities of a series or of the indenture relating to such series with the written consent of the holders of at least a majority in principal amount of the outstanding debt securities of such series. However, without the consent of each holder of a debt security the terms of which are directly amended, supplemented or waived, an amendment, supplement or waiver may not:</w:t>
      </w:r>
    </w:p>
    <w:p>
      <w:pPr>
        <w:spacing w:after="0" w:line="126"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of such series whose holders must consent to an amendment, supplement or waiver;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defaulted interest;</w:t>
      </w:r>
    </w:p>
    <w:p>
      <w:pPr>
        <w:spacing w:after="0" w:line="17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extend the fixed maturity of any debt security or alter the provisions with respect to redemptions or mandatory offers to repurchase debt securities of a series in a manner adverse to holders;</w:t>
      </w:r>
    </w:p>
    <w:p>
      <w:pPr>
        <w:spacing w:after="0" w:line="10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adversely affects any right of a holder to convert or exchange any debt security into or for shares of our common stock or other securities, cash or other property in accordance with the terms of such security;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ranking or priority of the debt securities of the relevant series;</w:t>
      </w:r>
    </w:p>
    <w:p>
      <w:pPr>
        <w:spacing w:after="0" w:line="1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any guarantor of any series from any of its obligations under its guarantee or the indenture otherwise than in accordance with the terms of the indenture;</w:t>
      </w:r>
    </w:p>
    <w:p>
      <w:pPr>
        <w:spacing w:after="0" w:line="107"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any provision of the indenture relating to the waiver of existing defaults, the rights of holders to receive payment of principal and interest on the debt securities, or to the provisions regarding amending or supplementing the indenture or the debt securities of a particular series with the written consent of the holders of such series, except to increase the percentage required for modification or waiver or to provide for consent of each affected holder of debt securities of such series;</w:t>
      </w:r>
    </w:p>
    <w:p>
      <w:pPr>
        <w:spacing w:after="0" w:line="1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continuing default or event of default in the payment of principal of or interest on the debt securities; or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debt security payable at a place or in money other than that stated in the debt security, or impair the right of any holder of a debt security to bring suit as permitted by the indenture.</w:t>
      </w:r>
    </w:p>
    <w:p>
      <w:pPr>
        <w:spacing w:after="0" w:line="1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outstanding debt securities of such series may, on behalf of all holders of debt securities of that series, waive any existing default under, or compliance with, any provision of the debt securities of a particular series or of the indenture relating to a particular series of debt securities, other than any event of default in payment of interest or principal.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Defeasance</w:t>
      </w:r>
    </w:p>
    <w:p>
      <w:pPr>
        <w:spacing w:after="0" w:line="17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indenture will permit us to terminate all our respective obligations under the indenture as they relate to any particular series of debt securities, other than the obligation to pay interest, if any, on and the principal of the debt securities of such series and certain other obligations, at any time by:</w:t>
      </w:r>
    </w:p>
    <w:p>
      <w:pPr>
        <w:spacing w:after="0" w:line="108" w:lineRule="exact"/>
        <w:rPr>
          <w:sz w:val="20"/>
          <w:szCs w:val="20"/>
          <w:color w:val="auto"/>
        </w:rPr>
      </w:pPr>
    </w:p>
    <w:p>
      <w:pPr>
        <w:ind w:left="660" w:right="66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in trust with the trustee, under an irrevocable trust agreement, money or government obligations in an amount sufficient to pay principal of and interest, if any, on the debt securities of such series to their maturity or redemption; and</w:t>
      </w:r>
    </w:p>
    <w:p>
      <w:pPr>
        <w:spacing w:after="0" w:line="107"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other conditions, including delivery to the trustee of an opinion of counsel to the effect that holders will not recognize income, gain or loss for federal income tax purposes as a result of our exercise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1440" w:right="359" w:bottom="1440" w:gutter="0" w:footer="0" w:header="0"/>
        </w:sectPr>
      </w:pPr>
    </w:p>
    <w:bookmarkStart w:id="49" w:name="page50"/>
    <w:bookmarkEnd w:id="49"/>
    <w:p>
      <w:pPr>
        <w:spacing w:after="0" w:line="140" w:lineRule="exact"/>
        <w:rPr>
          <w:sz w:val="20"/>
          <w:szCs w:val="20"/>
          <w:color w:val="auto"/>
        </w:rPr>
      </w:pPr>
    </w:p>
    <w:p>
      <w:pPr>
        <w:ind w:left="660" w:right="320"/>
        <w:spacing w:after="0" w:line="282" w:lineRule="auto"/>
        <w:rPr>
          <w:sz w:val="20"/>
          <w:szCs w:val="20"/>
          <w:color w:val="auto"/>
        </w:rPr>
      </w:pPr>
      <w:r>
        <w:rPr>
          <w:rFonts w:ascii="Times New Roman" w:cs="Times New Roman" w:eastAsia="Times New Roman" w:hAnsi="Times New Roman"/>
          <w:sz w:val="18"/>
          <w:szCs w:val="18"/>
          <w:color w:val="auto"/>
        </w:rPr>
        <w:t>such right and will be subject to federal income tax on the same amount and in the same manner and at the same times as would have been the case otherwise.</w:t>
      </w:r>
    </w:p>
    <w:p>
      <w:pPr>
        <w:spacing w:after="0" w:line="10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indenture will also permit us to terminate all of our respective obligations under the indenture as they relate to any particular series of debt securities, including the obligations to pay interest, if any, on and the principal of the debt securities of such series and certain other obligations, at any time by:</w:t>
      </w:r>
    </w:p>
    <w:p>
      <w:pPr>
        <w:spacing w:after="0" w:line="108" w:lineRule="exact"/>
        <w:rPr>
          <w:sz w:val="20"/>
          <w:szCs w:val="20"/>
          <w:color w:val="auto"/>
        </w:rPr>
      </w:pPr>
    </w:p>
    <w:p>
      <w:pPr>
        <w:ind w:left="660" w:righ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in trust with the trustee, under an irrevocable trust agreement, money or government obligations in an amount sufficient to pay principal and interest, if any, on the debt securities of such series to their maturity or redemption;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58"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other conditions, including delivery to the trustee of an opinion of counsel to the effect that (A) we have received from, or there has been published by, the Internal Revenue Service a ruling, or (B) since the date such series of debt securities were originally issued, there has been a change in the applicable federal income tax law, in either case to the effect that, and based thereon such opinion of counsel shall state that, holders will not recognize income, gain or loss for federal income tax purposes as a result of our exercise of such right and will be subject to federal income tax on the same amount and in the same manner and at the same times as would have been the case otherwise.</w:t>
      </w:r>
    </w:p>
    <w:p>
      <w:pPr>
        <w:spacing w:after="0" w:line="1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addition, the indenture will permit us to terminate substantially all our respective obligations under the indenture as they relate to a particular series of debt securities by depositing with the trustee money or government obligations sufficient to pay all principal and interest on such series at its maturity or redemption date if the debt securities of such series will become due and payable at maturity within one year or are to be called for redemption within one year of the deposit.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and Exchange</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 holder will be able to transfer or exchange debt securities only in accordance with the indenture. The registrar may require a holder, among other things, to furnish appropriate endorsements and transfer documents, and to pay any taxes and fees required by law or permitted by the indenture.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Concerning the Trustee</w:t>
      </w:r>
    </w:p>
    <w:p>
      <w:pPr>
        <w:spacing w:after="0" w:line="17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indenture will contain limitations on the rights of the trustee, should it become our creditor, to obtain payment of claims in specified cases or to realize on property received in respect of any such claim as security or otherwise. The indenture will permit the trustee to engage in other transactions; however, if it acquires any conflicting interest, it must eliminate such conflict or resign.</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indenture will provide that in case an event of default occurs and is not cured, the trustee will be required, in the exercise of its power, to use the degree of care of a prudent person in similar circumstances in the conduct of such person’s own affairs. The trustee shall be under no obligation to exercise any of the rights or powers vested in it by the indenture at the request or direction of any of the holders pursuant to the indenture, unless such holders shall have offered to the trustee security or indemnity satisfactory to the trustee against the costs, expenses and liabilities which might be incurred by it in compliance with such request or direction.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Recourse Against Others</w:t>
      </w:r>
    </w:p>
    <w:p>
      <w:pPr>
        <w:spacing w:after="0" w:line="17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indenture will provide that there is no recourse under any obligation, covenant or agreement in the applicable indenture or with respect to any debt security against any of our or our successor’s past, present or future stockholders, employees, officers or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laws of the State of New York will govern the indenture and the debt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1440" w:right="359" w:bottom="1440" w:gutter="0" w:footer="0" w:header="0"/>
        </w:sectPr>
      </w:pPr>
    </w:p>
    <w:bookmarkStart w:id="50" w:name="page51"/>
    <w:bookmarkEnd w:id="5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may issue warrants for the purchase of common stock, preferred stock and/or debt securities in one or more series, from time to time. We may issue warrants independently or together with common stock, preferred stock and/or debt securities, and the warrants may be attached to or separate from those securities.</w:t>
      </w:r>
    </w:p>
    <w:p>
      <w:pPr>
        <w:spacing w:after="0" w:line="12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If we issue warrants, they will be evidenced by warrant agreements or warrant certificates issued under one or more warrant agreements, which are contracts between us and an agent for the holders of the warrants. We urge you to read the prospectus supplement related to any series of warrants we may offer, as well as the complete warrant agreement and warrant certificate that contain the terms of the warrants. If we issue warrants, forms of warrant agreements and warrant certificates relating to warrants for the purchase of common stock, preferred stock and debt securities will be incorporated by reference into the registration statement of which this prospectus is a part from reports we would subsequently file with the SEC.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2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33"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08"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75"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122"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also sell equity securities covered by this registration statement in an “at the market offering” as defined in Rule 415 under the Securities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offering may be made into an existing trading market for such securities in transactions at other than a fixed price, either:</w:t>
      </w:r>
    </w:p>
    <w:p>
      <w:pPr>
        <w:spacing w:after="0" w:line="153" w:lineRule="exact"/>
        <w:rPr>
          <w:sz w:val="20"/>
          <w:szCs w:val="20"/>
          <w:color w:val="auto"/>
        </w:rPr>
      </w:pPr>
    </w:p>
    <w:p>
      <w:pPr>
        <w:ind w:left="660" w:right="4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through the facilities of Nasdaq or any other securities exchange or quotation or trading service on which such securities may be listed, quoted or traded at the time of sale; and/or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 market maker otherwise than on Nasdaq or such other securities exchanges or quotation or trading services.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at the market offerings, if any, may be conducted by underwriters acting as principal or agent.</w:t>
      </w:r>
    </w:p>
    <w:p>
      <w:pPr>
        <w:spacing w:after="0" w:line="1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108"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options under which underwriters may purchase additional securities from us;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40"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2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may provide agents and underwriters with indemnification against civil liabilities related to offerings pursuant to this prospectus,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22"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All securities we offer, other than shares of our common stock, will be new issues of securities, and all securities we offer, other than our common stock, will have no established trading market. Any underwriters may make a market in these securities, but will not be obligated to do so and may discontinue any market making at any time without notice. We cannot guarantee the liquidity of the trading markets for any securities.</w:t>
      </w:r>
    </w:p>
    <w:p>
      <w:pPr>
        <w:spacing w:after="0" w:line="12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7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Certain legal matters, including the legality of the securities offered, will be passed upon for us by Gibson, Dunn &amp; Crutcher LLP, San Francisco, California. Additional legal matters may be passed upon for us or any underwriters, dealers or agents, by counsel that we will name in the applicable prospectus supplement.</w:t>
      </w:r>
    </w:p>
    <w:p>
      <w:pPr>
        <w:spacing w:after="0" w:line="11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financial statements of Neurogene Inc. as of December 31, 2024 and 2023, and for each of the two years in the period ended December 31, 2024,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60"/>
          </w:cols>
          <w:pgMar w:left="320" w:top="1440" w:right="519" w:bottom="1440" w:gutter="0" w:footer="0" w:header="0"/>
        </w:sectPr>
      </w:pPr>
    </w:p>
    <w:bookmarkStart w:id="54" w:name="page55"/>
    <w:bookmarkEnd w:id="54"/>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7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prospectus incorporates by reference important business and financial information about the Company that is not included in or delivered with this document. The information incorporated by reference is considered to be part of this prospectus, and the SEC allows us to “incorporate by reference” the information we file with it, which means that we can disclose important information to you by referring you to those documents instead of having to repeat the information in this prospectus. Any information referenced in this way is considered part of this prospectus. Any subsequent information filed with the SEC will automatically be deemed to update and supersede the information in this prospectus and in our other filings with the SEC. We are incorporating by reference the documents listed below:</w:t>
      </w:r>
    </w:p>
    <w:p>
      <w:pPr>
        <w:spacing w:after="0" w:line="129"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2024, filed with the SEC on March 23, 2025 (our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securities contained in </w:t>
      </w:r>
      <w:hyperlink r:id="rId29">
        <w:r>
          <w:rPr>
            <w:rFonts w:ascii="Times New Roman" w:cs="Times New Roman" w:eastAsia="Times New Roman" w:hAnsi="Times New Roman"/>
            <w:sz w:val="18"/>
            <w:szCs w:val="18"/>
            <w:u w:val="single" w:color="auto"/>
            <w:color w:val="0000FF"/>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Annual Report, as may be further amended by any amendments or reports filed for the purposes of updating this description.</w:t>
      </w:r>
    </w:p>
    <w:p>
      <w:pPr>
        <w:spacing w:after="0" w:line="108" w:lineRule="exact"/>
        <w:rPr>
          <w:rFonts w:ascii="Times New Roman" w:cs="Times New Roman" w:eastAsia="Times New Roman" w:hAnsi="Times New Roman"/>
          <w:sz w:val="18"/>
          <w:szCs w:val="18"/>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Notwithstanding the foregoing, information furnished under Items 2.02 and 7.01 of any Current Report on Form 8-K, including the related exhibits under Item 9.01, is not incorporated by reference in this prospectus or any prospectus supplement.</w:t>
      </w:r>
    </w:p>
    <w:p>
      <w:pPr>
        <w:spacing w:after="0" w:line="108" w:lineRule="exact"/>
        <w:rPr>
          <w:rFonts w:ascii="Times New Roman" w:cs="Times New Roman" w:eastAsia="Times New Roman" w:hAnsi="Times New Roman"/>
          <w:sz w:val="18"/>
          <w:szCs w:val="18"/>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into this prospectus any further filings we make with the SEC under Sections 13(a), 13(c), 14 or 15(d) of the Exchange Act (other than portions deemed to have been “furnished” and not filed with the SEC, including those made pursuant to Item 2.02 or Item 7.01 of Form 8-K or other information), including all filings filed after the date hereof and prior to the completion of the offering of all securities under this prospectus.</w:t>
      </w:r>
    </w:p>
    <w:p>
      <w:pPr>
        <w:spacing w:after="0" w:line="122" w:lineRule="exact"/>
        <w:rPr>
          <w:rFonts w:ascii="Times New Roman" w:cs="Times New Roman" w:eastAsia="Times New Roman" w:hAnsi="Times New Roman"/>
          <w:sz w:val="18"/>
          <w:szCs w:val="18"/>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furnish without charge to you, on written or oral request, a copy of any or all of the documents incorporated by reference in this prospectus, including exhibits to these documents. You should direct any requests for documents to Neurogene Inc., 535 W 24th St., 5th Floor, New York, NY 10011, telephone: (855) 508-3568. You also may access these filings on our website at www.neurogene.com. We do not incorporate the information on our website into this prospectus and you should not consider any information on, or that can be accessed through, our website as part of this prospectus (other than those filings with the SEC that we specifically incorporate by reference into this prospectus).</w:t>
      </w:r>
    </w:p>
    <w:p>
      <w:pPr>
        <w:spacing w:after="0" w:line="129" w:lineRule="exact"/>
        <w:rPr>
          <w:rFonts w:ascii="Times New Roman" w:cs="Times New Roman" w:eastAsia="Times New Roman" w:hAnsi="Times New Roman"/>
          <w:sz w:val="18"/>
          <w:szCs w:val="18"/>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will be deemed modified, superseded or replaced for purposes of this prospectus to the extent that a statement contained in this prospectus modifies, supersedes or replaces such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are subject to the informational requirements of the Exchange Act and are required to file annual, quarterly and other reports, proxy statements and other information with the SEC. The SEC maintains an Internet website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that contains reports, proxy and information statements, and various other information about registrants, like us, that file electronically with the SEC.</w:t>
      </w:r>
    </w:p>
    <w:p>
      <w:pPr>
        <w:spacing w:after="0" w:line="12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about us is also available at our website at http://www.neurogene.com. You may access these materials free of charge as soon as reasonably practicable after they are electronically filed with, or furnished to, the SEC. However, the information on our website is not a part of this prospectus and is not incorporated by reference into this prospectus.</w:t>
      </w:r>
    </w:p>
    <w:p>
      <w:pPr>
        <w:spacing w:after="0" w:line="12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have filed with the SEC this registration statement relating to the securities covered by this prospectus. This prospectus is a part of the registration statement and does not contain all of the information in the registration statement. Whenever a reference is made in this prospectus to a contract or other document of ours, please be aware that the reference is only a summary and that you should refer to the exhibits that are part of the registration statement for a copy of the contract or other document. You may review a copy of the registration statement through the SEC’s website or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1440" w:right="45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1057910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3122930</wp:posOffset>
            </wp:positionH>
            <wp:positionV relativeFrom="page">
              <wp:posOffset>1246505</wp:posOffset>
            </wp:positionV>
            <wp:extent cx="1311275" cy="908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31127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Neurogene Inc.</w:t>
      </w:r>
    </w:p>
    <w:p>
      <w:pPr>
        <w:spacing w:after="0" w:line="17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auto"/>
        </w:rPr>
        <w:t>          3,500,000 Shares of Common Stock</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Pre-Funded Warrants to Purchase 666,666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149860</wp:posOffset>
            </wp:positionV>
            <wp:extent cx="1517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133350</wp:posOffset>
            </wp:positionV>
            <wp:extent cx="13627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Joint Bookrunning Managers</w:t>
      </w:r>
    </w:p>
    <w:p>
      <w:pPr>
        <w:spacing w:after="0" w:line="219" w:lineRule="exact"/>
        <w:rPr>
          <w:sz w:val="20"/>
          <w:szCs w:val="20"/>
          <w:color w:val="auto"/>
        </w:rPr>
      </w:pPr>
    </w:p>
    <w:p>
      <w:pPr>
        <w:spacing w:after="0"/>
        <w:tabs>
          <w:tab w:leader="none" w:pos="2700" w:val="left"/>
          <w:tab w:leader="none" w:pos="4220" w:val="left"/>
          <w:tab w:leader="none" w:pos="7380" w:val="left"/>
          <w:tab w:leader="none" w:pos="10000" w:val="left"/>
        </w:tabs>
        <w:rPr>
          <w:sz w:val="20"/>
          <w:szCs w:val="20"/>
          <w:color w:val="auto"/>
        </w:rPr>
      </w:pPr>
      <w:r>
        <w:rPr>
          <w:rFonts w:ascii="Times New Roman" w:cs="Times New Roman" w:eastAsia="Times New Roman" w:hAnsi="Times New Roman"/>
          <w:sz w:val="20"/>
          <w:szCs w:val="20"/>
          <w:b w:val="1"/>
          <w:bCs w:val="1"/>
          <w:color w:val="auto"/>
        </w:rPr>
        <w:t>Leerink Partners</w:t>
      </w:r>
      <w:r>
        <w:rPr>
          <w:sz w:val="20"/>
          <w:szCs w:val="20"/>
          <w:color w:val="auto"/>
        </w:rPr>
        <w:tab/>
      </w:r>
      <w:r>
        <w:rPr>
          <w:rFonts w:ascii="Times New Roman" w:cs="Times New Roman" w:eastAsia="Times New Roman" w:hAnsi="Times New Roman"/>
          <w:sz w:val="20"/>
          <w:szCs w:val="20"/>
          <w:b w:val="1"/>
          <w:bCs w:val="1"/>
          <w:color w:val="auto"/>
        </w:rPr>
        <w:t>Stifel</w:t>
      </w:r>
      <w:r>
        <w:rPr>
          <w:sz w:val="20"/>
          <w:szCs w:val="20"/>
          <w:color w:val="auto"/>
        </w:rPr>
        <w:tab/>
      </w:r>
      <w:r>
        <w:rPr>
          <w:rFonts w:ascii="Times New Roman" w:cs="Times New Roman" w:eastAsia="Times New Roman" w:hAnsi="Times New Roman"/>
          <w:sz w:val="20"/>
          <w:szCs w:val="20"/>
          <w:b w:val="1"/>
          <w:bCs w:val="1"/>
          <w:color w:val="auto"/>
        </w:rPr>
        <w:t>Guggenheim Securities</w:t>
      </w:r>
      <w:r>
        <w:rPr>
          <w:sz w:val="20"/>
          <w:szCs w:val="20"/>
          <w:color w:val="auto"/>
        </w:rPr>
        <w:tab/>
      </w:r>
      <w:r>
        <w:rPr>
          <w:rFonts w:ascii="Times New Roman" w:cs="Times New Roman" w:eastAsia="Times New Roman" w:hAnsi="Times New Roman"/>
          <w:sz w:val="20"/>
          <w:szCs w:val="20"/>
          <w:b w:val="1"/>
          <w:bCs w:val="1"/>
          <w:color w:val="auto"/>
        </w:rPr>
        <w:t>LifeSci Capital</w:t>
      </w:r>
      <w:r>
        <w:rPr>
          <w:sz w:val="20"/>
          <w:szCs w:val="20"/>
          <w:color w:val="auto"/>
        </w:rPr>
        <w:tab/>
      </w:r>
      <w:r>
        <w:rPr>
          <w:rFonts w:ascii="Times New Roman" w:cs="Times New Roman" w:eastAsia="Times New Roman" w:hAnsi="Times New Roman"/>
          <w:sz w:val="19"/>
          <w:szCs w:val="19"/>
          <w:b w:val="1"/>
          <w:bCs w:val="1"/>
          <w:color w:val="auto"/>
        </w:rPr>
        <w:t>William Blair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173990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200025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6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lowerRoman"/>
      <w:start w:val="3"/>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5"/>
    </w:lvl>
  </w:abstractNum>
  <w:abstractNum w:abstractNumId="14">
    <w:nsid w:val="4353D0CD"/>
    <w:multiLevelType w:val="hybridMultilevel"/>
    <w:lvl w:ilvl="0">
      <w:lvlJc w:val="left"/>
      <w:lvlText w:val="(%1)"/>
      <w:numFmt w:val="upperLetter"/>
      <w:start w:val="1"/>
    </w:lvl>
  </w:abstractNum>
  <w:abstractNum w:abstractNumId="15">
    <w:nsid w:val="B03E0C6"/>
    <w:multiLevelType w:val="hybridMultilevel"/>
    <w:lvl w:ilvl="0">
      <w:lvlJc w:val="left"/>
      <w:lvlText w:val="(%1)"/>
      <w:numFmt w:val="upperLetter"/>
      <w:start w:val="1"/>
    </w:lvl>
  </w:abstractNum>
  <w:abstractNum w:abstractNumId="16">
    <w:nsid w:val="189A769B"/>
    <w:multiLevelType w:val="hybridMultilevel"/>
    <w:lvl w:ilvl="0">
      <w:lvlJc w:val="left"/>
      <w:lvlText w:val="(%1)"/>
      <w:numFmt w:val="upperLetter"/>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2"/>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
      <w:numFmt w:val="bullet"/>
      <w:start w:val="1"/>
    </w:lvl>
  </w:abstractNum>
  <w:abstractNum w:abstractNumId="35">
    <w:nsid w:val="507236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3" Type="http://schemas.openxmlformats.org/officeDocument/2006/relationships/image" Target="media/image9.jpe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jpe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16" Type="http://schemas.openxmlformats.org/officeDocument/2006/relationships/hyperlink" Target="https://www.sec.gov/ix?doc=/Archives/edgar/data/0001404644/000140464426000019/ngne-20251231.htm" TargetMode="External"/><Relationship Id="rId17" Type="http://schemas.openxmlformats.org/officeDocument/2006/relationships/hyperlink" Target="https://www.sec.gov/ix?doc=/Archives/edgar/data/0001404644/000140464426000027/ngne-20260416.htm" TargetMode="External"/><Relationship Id="rId18" Type="http://schemas.openxmlformats.org/officeDocument/2006/relationships/hyperlink" Target="https://www.sec.gov/ix?doc=/Archives/edgar/data/0001404644/000140464426000037/ngne-20260331.htm" TargetMode="External"/><Relationship Id="rId19" Type="http://schemas.openxmlformats.org/officeDocument/2006/relationships/hyperlink" Target="https://www.sec.gov/ix?doc=/Archives/edgar/data/0001404644/000140464426000030/ngne-20260420.htm" TargetMode="External"/><Relationship Id="rId20" Type="http://schemas.openxmlformats.org/officeDocument/2006/relationships/hyperlink" Target="https://www.sec.gov/ix?doc=/Archives/edgar/data/0001404644/000140464426000040/ngne-20260603.htm" TargetMode="External"/><Relationship Id="rId21" Type="http://schemas.openxmlformats.org/officeDocument/2006/relationships/hyperlink" Target="https://www.sec.gov/ix?doc=/Archives/edgar/data/1404644/000140464426000046/ngne-20260629.htm" TargetMode="External"/><Relationship Id="rId22" Type="http://schemas.openxmlformats.org/officeDocument/2006/relationships/hyperlink" Target="https://www.sec.gov/Archives/edgar/data/1404644/000119312514079837/d619679d8a12b.htm" TargetMode="External"/><Relationship Id="rId28" Type="http://schemas.openxmlformats.org/officeDocument/2006/relationships/hyperlink" Target="https://www.sec.gov/ix?doc=/Archives/edgar/data/1404644/000140464425000012/ngne-20241231.htm" TargetMode="External"/><Relationship Id="rId29" Type="http://schemas.openxmlformats.org/officeDocument/2006/relationships/hyperlink" Target="https://www.sec.gov/Archives/edgar/data/1404644/000140464424000020/ngne-2023form10xkxex43des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2026-07-02T05:07:15Z</dcterms:created>
  <dcterms:modified xsi:type="dcterms:W3CDTF">2026-07-02T05:07:15Z</dcterms:modified>
</cp:coreProperties>
</file>