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7044055" cy="51866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4055" cy="518668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520"/>
          </w:cols>
          <w:pgMar w:left="460" w:top="219" w:right="439" w:bottom="553"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Cvijic Christine Mikail</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NEUROGENE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535 W 24TH STREET, 5TH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Neurogene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NGNE</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8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07/01/2026</w:t>
      </w:r>
    </w:p>
    <w:p>
      <w:pPr>
        <w:spacing w:after="0" w:line="20" w:lineRule="exact"/>
        <w:rPr>
          <w:sz w:val="24"/>
          <w:szCs w:val="24"/>
          <w:color w:val="auto"/>
        </w:rPr>
      </w:pPr>
      <w:r>
        <w:rPr>
          <w:sz w:val="24"/>
          <w:szCs w:val="24"/>
          <w:color w:val="auto"/>
        </w:rPr>
        <w:br w:type="column"/>
      </w:r>
    </w:p>
    <w:p>
      <w:pPr>
        <w:ind w:left="5" w:right="46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34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925"/>
        <w:spacing w:after="0"/>
        <w:rPr>
          <w:sz w:val="20"/>
          <w:szCs w:val="20"/>
          <w:color w:val="auto"/>
        </w:rPr>
      </w:pPr>
      <w:r>
        <w:rPr>
          <w:rFonts w:ascii="Times New Roman" w:cs="Times New Roman" w:eastAsia="Times New Roman" w:hAnsi="Times New Roman"/>
          <w:sz w:val="17"/>
          <w:szCs w:val="17"/>
          <w:color w:val="0000FF"/>
        </w:rPr>
        <w:t>President and CFO</w:t>
      </w:r>
    </w:p>
    <w:p>
      <w:pPr>
        <w:spacing w:after="0" w:line="432" w:lineRule="exact"/>
        <w:rPr>
          <w:sz w:val="24"/>
          <w:szCs w:val="24"/>
          <w:color w:val="auto"/>
        </w:rPr>
      </w:pPr>
    </w:p>
    <w:p>
      <w:pPr>
        <w:sectPr>
          <w:pgSz w:w="11900" w:h="16838" w:orient="portrait"/>
          <w:cols w:equalWidth="0" w:num="3">
            <w:col w:w="3200" w:space="720"/>
            <w:col w:w="3095" w:space="720"/>
            <w:col w:w="3265"/>
          </w:cols>
          <w:pgMar w:left="460" w:top="219" w:right="439" w:bottom="553" w:gutter="0" w:footer="0" w:header="0"/>
          <w:type w:val="continuous"/>
        </w:sectPr>
      </w:pPr>
    </w:p>
    <w:p>
      <w:pPr>
        <w:spacing w:after="0" w:line="213"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NY</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10011</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382" w:lineRule="exact"/>
        <w:rPr>
          <w:sz w:val="24"/>
          <w:szCs w:val="24"/>
          <w:color w:val="auto"/>
        </w:rPr>
      </w:pPr>
    </w:p>
    <w:p>
      <w:pPr>
        <w:sectPr>
          <w:pgSz w:w="11900" w:h="16838" w:orient="portrait"/>
          <w:cols w:equalWidth="0" w:num="2">
            <w:col w:w="3760" w:space="160"/>
            <w:col w:w="7080"/>
          </w:cols>
          <w:pgMar w:left="460" w:top="219" w:right="439" w:bottom="553" w:gutter="0" w:footer="0" w:header="0"/>
          <w:type w:val="continuous"/>
        </w:sectPr>
      </w:pPr>
    </w:p>
    <w:p>
      <w:pPr>
        <w:jc w:val="center"/>
        <w:ind w:right="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40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00" w:type="dxa"/>
            <w:vAlign w:val="bottom"/>
          </w:tcPr>
          <w:p>
            <w:pPr>
              <w:ind w:left="66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10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60"/>
              <w:spacing w:after="0"/>
              <w:rPr>
                <w:sz w:val="20"/>
                <w:szCs w:val="20"/>
                <w:color w:val="auto"/>
              </w:rPr>
            </w:pPr>
            <w:r>
              <w:rPr>
                <w:rFonts w:ascii="Arial" w:cs="Arial" w:eastAsia="Arial" w:hAnsi="Arial"/>
                <w:sz w:val="12"/>
                <w:szCs w:val="12"/>
                <w:b w:val="1"/>
                <w:bCs w:val="1"/>
                <w:color w:val="auto"/>
              </w:rPr>
              <w:t>6. Ownership</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7. Nature</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1700" w:type="dxa"/>
            <w:vAlign w:val="bottom"/>
          </w:tcPr>
          <w:p>
            <w:pPr>
              <w:ind w:left="6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100" w:type="dxa"/>
            <w:vAlign w:val="bottom"/>
            <w:gridSpan w:val="3"/>
          </w:tcPr>
          <w:p>
            <w:pPr>
              <w:jc w:val="center"/>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1700" w:type="dxa"/>
            <w:vAlign w:val="bottom"/>
          </w:tcPr>
          <w:p>
            <w:pPr>
              <w:jc w:val="center"/>
              <w:ind w:left="527"/>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 or Indirect</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2400" w:type="dxa"/>
            <w:vAlign w:val="bottom"/>
          </w:tcPr>
          <w:p>
            <w:pPr>
              <w:spacing w:after="0"/>
              <w:rPr>
                <w:sz w:val="6"/>
                <w:szCs w:val="6"/>
                <w:color w:val="auto"/>
              </w:rPr>
            </w:pPr>
          </w:p>
        </w:tc>
        <w:tc>
          <w:tcPr>
            <w:tcW w:w="17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114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76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2400" w:type="dxa"/>
            <w:vAlign w:val="bottom"/>
          </w:tcPr>
          <w:p>
            <w:pPr>
              <w:spacing w:after="0"/>
              <w:rPr>
                <w:sz w:val="3"/>
                <w:szCs w:val="3"/>
                <w:color w:val="auto"/>
              </w:rPr>
            </w:pPr>
          </w:p>
        </w:tc>
        <w:tc>
          <w:tcPr>
            <w:tcW w:w="17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540" w:type="dxa"/>
            <w:vAlign w:val="bottom"/>
          </w:tcPr>
          <w:p>
            <w:pPr>
              <w:spacing w:after="0"/>
              <w:rPr>
                <w:sz w:val="3"/>
                <w:szCs w:val="3"/>
                <w:color w:val="auto"/>
              </w:rPr>
            </w:pPr>
          </w:p>
        </w:tc>
        <w:tc>
          <w:tcPr>
            <w:tcW w:w="84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20" w:type="dxa"/>
            <w:vAlign w:val="bottom"/>
          </w:tcPr>
          <w:p>
            <w:pPr>
              <w:spacing w:after="0"/>
              <w:rPr>
                <w:sz w:val="3"/>
                <w:szCs w:val="3"/>
                <w:color w:val="auto"/>
              </w:rPr>
            </w:pPr>
          </w:p>
        </w:tc>
        <w:tc>
          <w:tcPr>
            <w:tcW w:w="76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4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9"/>
              </w:rPr>
              <w:t>(A) or</w:t>
            </w:r>
          </w:p>
        </w:tc>
        <w:tc>
          <w:tcPr>
            <w:tcW w:w="8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2400" w:type="dxa"/>
            <w:vAlign w:val="bottom"/>
          </w:tcPr>
          <w:p>
            <w:pPr>
              <w:spacing w:after="0"/>
              <w:rPr>
                <w:sz w:val="8"/>
                <w:szCs w:val="8"/>
                <w:color w:val="auto"/>
              </w:rPr>
            </w:pPr>
          </w:p>
        </w:tc>
        <w:tc>
          <w:tcPr>
            <w:tcW w:w="17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54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840" w:type="dxa"/>
            <w:vAlign w:val="bottom"/>
            <w:vMerge w:val="continue"/>
          </w:tcPr>
          <w:p>
            <w:pPr>
              <w:spacing w:after="0"/>
              <w:rPr>
                <w:sz w:val="8"/>
                <w:szCs w:val="8"/>
                <w:color w:val="auto"/>
              </w:rPr>
            </w:pPr>
          </w:p>
        </w:tc>
        <w:tc>
          <w:tcPr>
            <w:tcW w:w="11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2400" w:type="dxa"/>
            <w:vAlign w:val="bottom"/>
          </w:tcPr>
          <w:p>
            <w:pPr>
              <w:spacing w:after="0"/>
              <w:rPr>
                <w:sz w:val="5"/>
                <w:szCs w:val="5"/>
                <w:color w:val="auto"/>
              </w:rPr>
            </w:pPr>
          </w:p>
        </w:tc>
        <w:tc>
          <w:tcPr>
            <w:tcW w:w="17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84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2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40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700" w:type="dxa"/>
            <w:vAlign w:val="bottom"/>
            <w:tcBorders>
              <w:bottom w:val="single" w:sz="8" w:color="2C2C2C"/>
            </w:tcBorders>
          </w:tcPr>
          <w:p>
            <w:pPr>
              <w:jc w:val="center"/>
              <w:ind w:left="527"/>
              <w:spacing w:after="0"/>
              <w:rPr>
                <w:sz w:val="20"/>
                <w:szCs w:val="20"/>
                <w:color w:val="auto"/>
              </w:rPr>
            </w:pPr>
            <w:r>
              <w:rPr>
                <w:rFonts w:ascii="Times New Roman" w:cs="Times New Roman" w:eastAsia="Times New Roman" w:hAnsi="Times New Roman"/>
                <w:sz w:val="17"/>
                <w:szCs w:val="17"/>
                <w:color w:val="0000FF"/>
              </w:rPr>
              <w:t>07/01/2026</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739</w:t>
            </w:r>
          </w:p>
        </w:tc>
        <w:tc>
          <w:tcPr>
            <w:tcW w:w="540" w:type="dxa"/>
            <w:vAlign w:val="bottom"/>
            <w:tcBorders>
              <w:bottom w:val="single" w:sz="8" w:color="2C2C2C"/>
            </w:tcBorders>
          </w:tcPr>
          <w:p>
            <w:pPr>
              <w:jc w:val="center"/>
              <w:ind w:left="4"/>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34.059</w:t>
            </w:r>
            <w:r>
              <w:rPr>
                <w:rFonts w:ascii="Times New Roman" w:cs="Times New Roman" w:eastAsia="Times New Roman" w:hAnsi="Times New Roman"/>
                <w:sz w:val="22"/>
                <w:szCs w:val="22"/>
                <w:color w:val="008000"/>
                <w:vertAlign w:val="superscript"/>
              </w:rPr>
              <w:t>(2)</w:t>
            </w:r>
          </w:p>
        </w:tc>
        <w:tc>
          <w:tcPr>
            <w:tcW w:w="114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92,901</w:t>
            </w:r>
          </w:p>
        </w:tc>
        <w:tc>
          <w:tcPr>
            <w:tcW w:w="920" w:type="dxa"/>
            <w:vAlign w:val="bottom"/>
            <w:tcBorders>
              <w:bottom w:val="single" w:sz="8" w:color="2C2C2C"/>
            </w:tcBorders>
          </w:tcPr>
          <w:p>
            <w:pPr>
              <w:ind w:left="340"/>
              <w:spacing w:after="0" w:line="320" w:lineRule="exact"/>
              <w:rPr>
                <w:sz w:val="20"/>
                <w:szCs w:val="20"/>
                <w:color w:val="auto"/>
              </w:rPr>
            </w:pPr>
            <w:r>
              <w:rPr>
                <w:rFonts w:ascii="Times New Roman" w:cs="Times New Roman" w:eastAsia="Times New Roman" w:hAnsi="Times New Roman"/>
                <w:sz w:val="34"/>
                <w:szCs w:val="34"/>
                <w:color w:val="0000FF"/>
                <w:vertAlign w:val="subscript"/>
              </w:rPr>
              <w:t>D</w:t>
            </w:r>
            <w:r>
              <w:rPr>
                <w:rFonts w:ascii="Times New Roman" w:cs="Times New Roman" w:eastAsia="Times New Roman" w:hAnsi="Times New Roman"/>
                <w:sz w:val="11"/>
                <w:szCs w:val="11"/>
                <w:color w:val="008000"/>
              </w:rPr>
              <w:t>(3)</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700" w:type="dxa"/>
            <w:vAlign w:val="bottom"/>
            <w:tcBorders>
              <w:bottom w:val="single" w:sz="8" w:color="2C2C2C"/>
            </w:tcBorders>
          </w:tcPr>
          <w:p>
            <w:pPr>
              <w:jc w:val="center"/>
              <w:ind w:left="527"/>
              <w:spacing w:after="0"/>
              <w:rPr>
                <w:sz w:val="20"/>
                <w:szCs w:val="20"/>
                <w:color w:val="auto"/>
              </w:rPr>
            </w:pPr>
            <w:r>
              <w:rPr>
                <w:rFonts w:ascii="Times New Roman" w:cs="Times New Roman" w:eastAsia="Times New Roman" w:hAnsi="Times New Roman"/>
                <w:sz w:val="17"/>
                <w:szCs w:val="17"/>
                <w:color w:val="0000FF"/>
              </w:rPr>
              <w:t>07/02/2026</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jc w:val="center"/>
              <w:ind w:left="7"/>
              <w:spacing w:after="0"/>
              <w:rPr>
                <w:sz w:val="20"/>
                <w:szCs w:val="20"/>
                <w:color w:val="auto"/>
              </w:rPr>
            </w:pPr>
            <w:r>
              <w:rPr>
                <w:rFonts w:ascii="Times New Roman" w:cs="Times New Roman" w:eastAsia="Times New Roman" w:hAnsi="Times New Roman"/>
                <w:sz w:val="17"/>
                <w:szCs w:val="17"/>
                <w:color w:val="0000FF"/>
              </w:rPr>
              <w:t>2,531</w:t>
            </w:r>
          </w:p>
        </w:tc>
        <w:tc>
          <w:tcPr>
            <w:tcW w:w="540" w:type="dxa"/>
            <w:vAlign w:val="bottom"/>
            <w:tcBorders>
              <w:bottom w:val="single" w:sz="8" w:color="2C2C2C"/>
            </w:tcBorders>
          </w:tcPr>
          <w:p>
            <w:pPr>
              <w:jc w:val="center"/>
              <w:ind w:left="4"/>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34.579</w:t>
            </w:r>
            <w:r>
              <w:rPr>
                <w:rFonts w:ascii="Times New Roman" w:cs="Times New Roman" w:eastAsia="Times New Roman" w:hAnsi="Times New Roman"/>
                <w:sz w:val="22"/>
                <w:szCs w:val="22"/>
                <w:color w:val="008000"/>
                <w:vertAlign w:val="superscript"/>
              </w:rPr>
              <w:t>(4)</w:t>
            </w:r>
          </w:p>
        </w:tc>
        <w:tc>
          <w:tcPr>
            <w:tcW w:w="114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90,370</w:t>
            </w:r>
          </w:p>
        </w:tc>
        <w:tc>
          <w:tcPr>
            <w:tcW w:w="920" w:type="dxa"/>
            <w:vAlign w:val="bottom"/>
            <w:tcBorders>
              <w:bottom w:val="single" w:sz="8" w:color="2C2C2C"/>
            </w:tcBorders>
          </w:tcPr>
          <w:p>
            <w:pPr>
              <w:ind w:left="340"/>
              <w:spacing w:after="0" w:line="320" w:lineRule="exact"/>
              <w:rPr>
                <w:sz w:val="20"/>
                <w:szCs w:val="20"/>
                <w:color w:val="auto"/>
              </w:rPr>
            </w:pPr>
            <w:r>
              <w:rPr>
                <w:rFonts w:ascii="Times New Roman" w:cs="Times New Roman" w:eastAsia="Times New Roman" w:hAnsi="Times New Roman"/>
                <w:sz w:val="34"/>
                <w:szCs w:val="34"/>
                <w:color w:val="0000FF"/>
                <w:vertAlign w:val="subscript"/>
              </w:rPr>
              <w:t>D</w:t>
            </w:r>
            <w:r>
              <w:rPr>
                <w:rFonts w:ascii="Times New Roman" w:cs="Times New Roman" w:eastAsia="Times New Roman" w:hAnsi="Times New Roman"/>
                <w:sz w:val="11"/>
                <w:szCs w:val="11"/>
                <w:color w:val="008000"/>
              </w:rPr>
              <w:t>(3)</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700" w:type="dxa"/>
            <w:vAlign w:val="bottom"/>
            <w:tcBorders>
              <w:bottom w:val="single" w:sz="8" w:color="2C2C2C"/>
            </w:tcBorders>
          </w:tcPr>
          <w:p>
            <w:pPr>
              <w:jc w:val="center"/>
              <w:ind w:left="527"/>
              <w:spacing w:after="0"/>
              <w:rPr>
                <w:sz w:val="20"/>
                <w:szCs w:val="20"/>
                <w:color w:val="auto"/>
              </w:rPr>
            </w:pPr>
            <w:r>
              <w:rPr>
                <w:rFonts w:ascii="Times New Roman" w:cs="Times New Roman" w:eastAsia="Times New Roman" w:hAnsi="Times New Roman"/>
                <w:sz w:val="17"/>
                <w:szCs w:val="17"/>
                <w:color w:val="0000FF"/>
              </w:rPr>
              <w:t>07/02/2026</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jc w:val="center"/>
              <w:ind w:left="7"/>
              <w:spacing w:after="0"/>
              <w:rPr>
                <w:sz w:val="20"/>
                <w:szCs w:val="20"/>
                <w:color w:val="auto"/>
              </w:rPr>
            </w:pPr>
            <w:r>
              <w:rPr>
                <w:rFonts w:ascii="Times New Roman" w:cs="Times New Roman" w:eastAsia="Times New Roman" w:hAnsi="Times New Roman"/>
                <w:sz w:val="17"/>
                <w:szCs w:val="17"/>
                <w:color w:val="0000FF"/>
              </w:rPr>
              <w:t>1,530</w:t>
            </w:r>
          </w:p>
        </w:tc>
        <w:tc>
          <w:tcPr>
            <w:tcW w:w="540" w:type="dxa"/>
            <w:vAlign w:val="bottom"/>
            <w:tcBorders>
              <w:bottom w:val="single" w:sz="8" w:color="2C2C2C"/>
            </w:tcBorders>
          </w:tcPr>
          <w:p>
            <w:pPr>
              <w:jc w:val="center"/>
              <w:ind w:left="4"/>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35.227</w:t>
            </w:r>
            <w:r>
              <w:rPr>
                <w:rFonts w:ascii="Times New Roman" w:cs="Times New Roman" w:eastAsia="Times New Roman" w:hAnsi="Times New Roman"/>
                <w:sz w:val="22"/>
                <w:szCs w:val="22"/>
                <w:color w:val="008000"/>
                <w:vertAlign w:val="superscript"/>
              </w:rPr>
              <w:t>(5)</w:t>
            </w:r>
          </w:p>
        </w:tc>
        <w:tc>
          <w:tcPr>
            <w:tcW w:w="114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88,840</w:t>
            </w:r>
          </w:p>
        </w:tc>
        <w:tc>
          <w:tcPr>
            <w:tcW w:w="920" w:type="dxa"/>
            <w:vAlign w:val="bottom"/>
            <w:tcBorders>
              <w:bottom w:val="single" w:sz="8" w:color="2C2C2C"/>
            </w:tcBorders>
          </w:tcPr>
          <w:p>
            <w:pPr>
              <w:ind w:left="340"/>
              <w:spacing w:after="0" w:line="320" w:lineRule="exact"/>
              <w:rPr>
                <w:sz w:val="20"/>
                <w:szCs w:val="20"/>
                <w:color w:val="auto"/>
              </w:rPr>
            </w:pPr>
            <w:r>
              <w:rPr>
                <w:rFonts w:ascii="Times New Roman" w:cs="Times New Roman" w:eastAsia="Times New Roman" w:hAnsi="Times New Roman"/>
                <w:sz w:val="34"/>
                <w:szCs w:val="34"/>
                <w:color w:val="0000FF"/>
                <w:vertAlign w:val="subscript"/>
              </w:rPr>
              <w:t>D</w:t>
            </w:r>
            <w:r>
              <w:rPr>
                <w:rFonts w:ascii="Times New Roman" w:cs="Times New Roman" w:eastAsia="Times New Roman" w:hAnsi="Times New Roman"/>
                <w:sz w:val="11"/>
                <w:szCs w:val="11"/>
                <w:color w:val="008000"/>
              </w:rPr>
              <w:t>(3)</w:t>
            </w:r>
          </w:p>
        </w:tc>
        <w:tc>
          <w:tcPr>
            <w:tcW w:w="7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65"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2"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6" w:lineRule="exact"/>
        <w:rPr>
          <w:sz w:val="24"/>
          <w:szCs w:val="24"/>
          <w:color w:val="auto"/>
        </w:rPr>
      </w:pPr>
    </w:p>
    <w:tbl>
      <w:tblPr>
        <w:tblLayout w:type="fixed"/>
        <w:tblInd w:w="80" w:type="dxa"/>
        <w:tblCellMar>
          <w:top w:w="0" w:type="dxa"/>
          <w:left w:w="0" w:type="dxa"/>
          <w:bottom w:w="0" w:type="dxa"/>
          <w:right w:w="0" w:type="dxa"/>
        </w:tblCellMar>
      </w:tblPr>
      <w:tr>
        <w:trPr>
          <w:trHeight w:val="138"/>
        </w:trPr>
        <w:tc>
          <w:tcPr>
            <w:tcW w:w="66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Ownership</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43"/>
        </w:trPr>
        <w:tc>
          <w:tcPr>
            <w:tcW w:w="6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720" w:type="dxa"/>
            <w:vAlign w:val="bottom"/>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r>
      <w:tr>
        <w:trPr>
          <w:trHeight w:val="173"/>
        </w:trPr>
        <w:tc>
          <w:tcPr>
            <w:tcW w:w="6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ind w:left="46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bl>
    <w:p>
      <w:pPr>
        <w:spacing w:after="0" w:line="90"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38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transactions reported on this Form 4 were effected pursuant to a 10b5-1 plan adopted by the reporting person on August 18, 2025. Shares sold were held jointly by the reporting person and her spouse, David Cvijic.</w:t>
      </w:r>
    </w:p>
    <w:p>
      <w:pPr>
        <w:spacing w:after="0" w:line="7" w:lineRule="exact"/>
        <w:rPr>
          <w:rFonts w:ascii="Times New Roman" w:cs="Times New Roman" w:eastAsia="Times New Roman" w:hAnsi="Times New Roman"/>
          <w:sz w:val="13"/>
          <w:szCs w:val="13"/>
          <w:color w:val="008000"/>
        </w:rPr>
      </w:pPr>
    </w:p>
    <w:p>
      <w:pPr>
        <w:ind w:left="40" w:right="18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a weighted average price. These shares were sold in multiple transactions at prices ranging from $34.005 to $34.095, inclusive. The reporting person undertakes to provide Neurogene Inc. (the "Company"), any securityholder of the Company, or the staff of the Securities and Exchange Commission (the "SEC"),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40" w:right="12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(a) 10,635 restricted stock units granted on March 13, 2024 that will vest on March 13, 2027; (b) 13,533 restricted stock units granted on March 26, 2025, which will vest annually in equal installments on March 26, 2027 and March 26, 2028; and (c) 22,000 restricted stock units granted on February 20, 2026, which will vest annually in equal installments on February 20, 2027, February 20, 2028 and February 20, 2029. Of the remaining shares, following completion of all sales reported pursuant to this Form 4, 4,800 are held jointly by the reporting person and her spouse, David Cvijic.</w:t>
      </w:r>
    </w:p>
    <w:p>
      <w:pPr>
        <w:spacing w:after="0" w:line="20" w:lineRule="exact"/>
        <w:rPr>
          <w:rFonts w:ascii="Times New Roman" w:cs="Times New Roman" w:eastAsia="Times New Roman" w:hAnsi="Times New Roman"/>
          <w:sz w:val="13"/>
          <w:szCs w:val="13"/>
          <w:color w:val="008000"/>
        </w:rPr>
      </w:pPr>
    </w:p>
    <w:p>
      <w:pPr>
        <w:ind w:left="40" w:right="24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a weighted average price. These shares were sold in multiple transactions at prices ranging from $34.05 to $34.99, inclusive. The reporting person undertakes to provide the Company, any securityholder of the Company, or the staff of the SEC, upon request, full information regarding the number of shares sold at each separate price within the range set forth in this footnote</w:t>
      </w:r>
    </w:p>
    <w:p>
      <w:pPr>
        <w:spacing w:after="0" w:line="7" w:lineRule="exact"/>
        <w:rPr>
          <w:rFonts w:ascii="Times New Roman" w:cs="Times New Roman" w:eastAsia="Times New Roman" w:hAnsi="Times New Roman"/>
          <w:sz w:val="13"/>
          <w:szCs w:val="13"/>
          <w:color w:val="008000"/>
        </w:rPr>
      </w:pPr>
    </w:p>
    <w:p>
      <w:pPr>
        <w:ind w:left="40" w:right="24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a weighted average price. These shares were sold in multiple transactions at prices ranging from $35.11 to $35.255, inclusive. The reporting person undertakes to provide the Company, any securityholder of the Company, or the staff of the SEC, upon request, full information regarding the number of shares sold at each separate price within the range set forth in this footnote</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Donna M. Cochener as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14554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145540" cy="8255"/>
                    </a:xfrm>
                    <a:prstGeom prst="rect">
                      <a:avLst/>
                    </a:prstGeom>
                    <a:noFill/>
                  </pic:spPr>
                </pic:pic>
              </a:graphicData>
            </a:graphic>
          </wp:anchor>
        </w:drawing>
      </w:r>
    </w:p>
    <w:p>
      <w:pPr>
        <w:spacing w:after="0" w:line="11" w:lineRule="exact"/>
        <w:rPr>
          <w:sz w:val="24"/>
          <w:szCs w:val="24"/>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attorney-in-fact for Christine</w:t>
        <w:tab/>
        <w:t>07/02/2026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Mikail Cvijic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5899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89915" cy="8255"/>
                    </a:xfrm>
                    <a:prstGeom prst="rect">
                      <a:avLst/>
                    </a:prstGeom>
                    <a:noFill/>
                  </pic:spPr>
                </pic:pic>
              </a:graphicData>
            </a:graphic>
          </wp:anchor>
        </w:drawing>
      </w:r>
    </w:p>
    <w:p>
      <w:pPr>
        <w:spacing w:after="0" w:line="4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26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00"/>
      </w:cols>
      <w:pgMar w:left="460" w:top="219" w:right="439" w:bottom="553"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543663" TargetMode="External"/><Relationship Id="rId14" Type="http://schemas.openxmlformats.org/officeDocument/2006/relationships/hyperlink" Target="http://www.sec.gov/cgi-bin/browse-edgar?action=getcompany&amp;CIK=000140464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2026-07-02T17:44:05Z</dcterms:created>
  <dcterms:modified xsi:type="dcterms:W3CDTF">2026-07-02T17:44:05Z</dcterms:modified>
</cp:coreProperties>
</file>